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8B7A" w14:textId="77777777" w:rsidR="0036674A" w:rsidRPr="0036674A" w:rsidRDefault="0036674A" w:rsidP="00E373B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Press-reliz</w:t>
      </w:r>
    </w:p>
    <w:p w14:paraId="1E19A56F" w14:textId="77777777" w:rsidR="0036674A" w:rsidRPr="0036674A" w:rsidRDefault="0036674A" w:rsidP="00E373B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Oʻzbekiston Respublikasi Prezidentining Farmoni</w:t>
      </w:r>
    </w:p>
    <w:p w14:paraId="58EC4C32" w14:textId="77777777" w:rsidR="0036674A" w:rsidRPr="0036674A" w:rsidRDefault="0036674A" w:rsidP="00E373B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“Oʻzbekiston Respublikasi Prezidentining ayrim hujjatlariga tashqi savdo operatsiyalari boʻyicha valyuta nazoratini yanada takomillashtirishga qaratilgan oʻzgartirish va qoʻshimchalar kiritish toʻgʻrisida”</w:t>
      </w:r>
    </w:p>
    <w:p w14:paraId="7C33EED4" w14:textId="77777777" w:rsidR="0036674A" w:rsidRPr="0036674A" w:rsidRDefault="0036674A" w:rsidP="00E373BD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PF-156, 14.10.2024 y</w:t>
      </w:r>
    </w:p>
    <w:p w14:paraId="6F5E44F5" w14:textId="77777777" w:rsidR="0036674A" w:rsidRPr="0036674A" w:rsidRDefault="0036674A" w:rsidP="00E373BD">
      <w:pPr>
        <w:rPr>
          <w:noProof/>
          <w:sz w:val="28"/>
          <w:szCs w:val="28"/>
          <w:lang w:val="en-US"/>
        </w:rPr>
      </w:pPr>
    </w:p>
    <w:p w14:paraId="0E885448" w14:textId="77777777" w:rsidR="0036674A" w:rsidRPr="0036674A" w:rsidRDefault="0036674A" w:rsidP="00E373BD">
      <w:pPr>
        <w:spacing w:after="80"/>
        <w:ind w:firstLine="425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>Farmon bilan tashqi savdo operatsiyalariga oid qator oʻzgartirishlar kiritildi.</w:t>
      </w: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Xususan, Oʻzbekiston Respublikasi Prezidentining 2024-yil 30-avgustdagi PF-132-son Farmoniga muvofiqlashtirish maqsadida Prezidentning 2019-yil 27-iyundagi PF-5755-son Farmonining 8-bandi chiqarib tashlandi. </w:t>
      </w:r>
    </w:p>
    <w:p w14:paraId="1F160994" w14:textId="77777777" w:rsidR="0036674A" w:rsidRPr="0036674A" w:rsidRDefault="0036674A" w:rsidP="00E373BD">
      <w:pPr>
        <w:spacing w:after="80"/>
        <w:ind w:firstLine="425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Mazkur normada, 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>tadbirkorlik subyektlariga nisbatan asbob-uskunalar va (yoki) butlovchi buyumlar yetkazib berish boʻyicha import shartnomalari yuzasidan muddati oʻtgan debitor qarzdorlik uchun, agarda asbob-uskunalar va (yoki) butlovchi buyumlarni yetkazib berish muddati ularning texnik xususiyatlari va oʻziga xosligidan kelib chiqqan holda 180 kundan ortiq boʻlsa, moliyaviy jazo choralari qoʻllanilma</w:t>
      </w: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>sligigi belgilangan edi.</w:t>
      </w:r>
    </w:p>
    <w:p w14:paraId="2B7A27D1" w14:textId="4731CF0A" w:rsidR="0036674A" w:rsidRPr="00E373BD" w:rsidRDefault="0036674A" w:rsidP="00E373BD">
      <w:pPr>
        <w:tabs>
          <w:tab w:val="num" w:pos="720"/>
        </w:tabs>
        <w:spacing w:after="80"/>
        <w:ind w:firstLine="425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Shuningdek, 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>Oʻzbekiston Respublikasi Prezidentining 202</w:t>
      </w: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>3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-yil </w:t>
      </w: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12-iyundagi 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>PF-93-son Farmonida belgilangan, “20 ming tadbirkor — 500 ming malakali mutaxassis” dasturga kiritilgan tadbirkorlik subyektlariga barcha soliqlar (qoʻshilgan qiymat soligʻi va soliq agentlari sifatida toʻlanadigan soliqlar bundan mustasno) va bojxona toʻlovlarini taʻminotsiz va foizsiz</w:t>
      </w:r>
      <w:r w:rsidR="00CC0662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CC0662" w:rsidRPr="00CC0662">
        <w:rPr>
          <w:rFonts w:ascii="Times New Roman" w:hAnsi="Times New Roman" w:cs="Times New Roman"/>
          <w:noProof/>
          <w:sz w:val="28"/>
          <w:szCs w:val="28"/>
          <w:lang w:val="uz-Cyrl-UZ"/>
        </w:rPr>
        <w:t>bir yilgacha muddatga</w:t>
      </w:r>
      <w:r w:rsidRPr="0036674A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boʻlib-boʻlib toʻlash huquqi endilikda 120 kun muddatga beriladi</w:t>
      </w:r>
      <w:r w:rsidRPr="0036674A">
        <w:rPr>
          <w:rFonts w:ascii="Times New Roman" w:hAnsi="Times New Roman" w:cs="Times New Roman"/>
          <w:noProof/>
          <w:sz w:val="28"/>
          <w:szCs w:val="28"/>
          <w:lang w:val="uz-Cyrl-UZ"/>
        </w:rPr>
        <w:t>gan boʻldi.</w:t>
      </w:r>
    </w:p>
    <w:sectPr w:rsidR="0036674A" w:rsidRPr="00E373BD" w:rsidSect="006068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6B56"/>
    <w:multiLevelType w:val="multilevel"/>
    <w:tmpl w:val="4362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54"/>
    <w:rsid w:val="0001481F"/>
    <w:rsid w:val="0003288A"/>
    <w:rsid w:val="00033583"/>
    <w:rsid w:val="00074AAB"/>
    <w:rsid w:val="000E09BA"/>
    <w:rsid w:val="00113CD4"/>
    <w:rsid w:val="001146AF"/>
    <w:rsid w:val="001A684D"/>
    <w:rsid w:val="001D1654"/>
    <w:rsid w:val="001D245F"/>
    <w:rsid w:val="00212E67"/>
    <w:rsid w:val="002437B1"/>
    <w:rsid w:val="0025618E"/>
    <w:rsid w:val="0027761E"/>
    <w:rsid w:val="003012B8"/>
    <w:rsid w:val="00305383"/>
    <w:rsid w:val="0036674A"/>
    <w:rsid w:val="00373C72"/>
    <w:rsid w:val="003E15D3"/>
    <w:rsid w:val="003E64E2"/>
    <w:rsid w:val="004618B7"/>
    <w:rsid w:val="004711A3"/>
    <w:rsid w:val="004C752A"/>
    <w:rsid w:val="004D6068"/>
    <w:rsid w:val="004E2262"/>
    <w:rsid w:val="004F5824"/>
    <w:rsid w:val="004F7C8C"/>
    <w:rsid w:val="005148EA"/>
    <w:rsid w:val="00521F3A"/>
    <w:rsid w:val="005512CE"/>
    <w:rsid w:val="005635D7"/>
    <w:rsid w:val="005862D7"/>
    <w:rsid w:val="0059355A"/>
    <w:rsid w:val="005A29FA"/>
    <w:rsid w:val="005A7122"/>
    <w:rsid w:val="005B5008"/>
    <w:rsid w:val="005C133A"/>
    <w:rsid w:val="005C45E9"/>
    <w:rsid w:val="005F00AB"/>
    <w:rsid w:val="00606839"/>
    <w:rsid w:val="006128A5"/>
    <w:rsid w:val="00654C85"/>
    <w:rsid w:val="006B1D8D"/>
    <w:rsid w:val="006B5F04"/>
    <w:rsid w:val="006F74D3"/>
    <w:rsid w:val="00717170"/>
    <w:rsid w:val="00741714"/>
    <w:rsid w:val="00742B97"/>
    <w:rsid w:val="00745B90"/>
    <w:rsid w:val="007666BD"/>
    <w:rsid w:val="0076678C"/>
    <w:rsid w:val="007F5959"/>
    <w:rsid w:val="00841700"/>
    <w:rsid w:val="00842C83"/>
    <w:rsid w:val="008537AA"/>
    <w:rsid w:val="008624C9"/>
    <w:rsid w:val="00866B60"/>
    <w:rsid w:val="00875060"/>
    <w:rsid w:val="008B35AB"/>
    <w:rsid w:val="008B5B01"/>
    <w:rsid w:val="008D6597"/>
    <w:rsid w:val="008F1D8F"/>
    <w:rsid w:val="0093335D"/>
    <w:rsid w:val="00943488"/>
    <w:rsid w:val="009439F8"/>
    <w:rsid w:val="00974241"/>
    <w:rsid w:val="009B2F99"/>
    <w:rsid w:val="009B63D9"/>
    <w:rsid w:val="009B7497"/>
    <w:rsid w:val="009D6390"/>
    <w:rsid w:val="009E698A"/>
    <w:rsid w:val="00A13BF2"/>
    <w:rsid w:val="00AA1AF5"/>
    <w:rsid w:val="00AC4745"/>
    <w:rsid w:val="00B51752"/>
    <w:rsid w:val="00B55BDE"/>
    <w:rsid w:val="00B623CB"/>
    <w:rsid w:val="00B63C8C"/>
    <w:rsid w:val="00B77CB8"/>
    <w:rsid w:val="00B80138"/>
    <w:rsid w:val="00B972FD"/>
    <w:rsid w:val="00BE5ACC"/>
    <w:rsid w:val="00BE7281"/>
    <w:rsid w:val="00BF22DE"/>
    <w:rsid w:val="00C04354"/>
    <w:rsid w:val="00C15A5E"/>
    <w:rsid w:val="00C438C4"/>
    <w:rsid w:val="00C63611"/>
    <w:rsid w:val="00C64FFF"/>
    <w:rsid w:val="00C84897"/>
    <w:rsid w:val="00CB1226"/>
    <w:rsid w:val="00CB5D4A"/>
    <w:rsid w:val="00CC0662"/>
    <w:rsid w:val="00D037F6"/>
    <w:rsid w:val="00D15EC1"/>
    <w:rsid w:val="00D33AA5"/>
    <w:rsid w:val="00D51212"/>
    <w:rsid w:val="00D6669A"/>
    <w:rsid w:val="00D7458B"/>
    <w:rsid w:val="00D96976"/>
    <w:rsid w:val="00D97568"/>
    <w:rsid w:val="00DB77B4"/>
    <w:rsid w:val="00DF0541"/>
    <w:rsid w:val="00DF7097"/>
    <w:rsid w:val="00E0289B"/>
    <w:rsid w:val="00E24BFF"/>
    <w:rsid w:val="00E941EF"/>
    <w:rsid w:val="00EC3E0A"/>
    <w:rsid w:val="00ED561A"/>
    <w:rsid w:val="00ED5CEA"/>
    <w:rsid w:val="00F05FD7"/>
    <w:rsid w:val="00F07382"/>
    <w:rsid w:val="00F624F7"/>
    <w:rsid w:val="00F81968"/>
    <w:rsid w:val="00F8203A"/>
    <w:rsid w:val="00FB2B1F"/>
    <w:rsid w:val="00FD00A9"/>
    <w:rsid w:val="00FD0672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564"/>
  <w15:chartTrackingRefBased/>
  <w15:docId w15:val="{19BFCB21-6C09-49BF-B5B5-B6E1331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B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BD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Nazokat Xolmatova Kaxramonovna</dc:creator>
  <cp:keywords/>
  <dc:description/>
  <cp:lastModifiedBy>Nazarov Muzaffar Yusuf</cp:lastModifiedBy>
  <cp:revision>3</cp:revision>
  <dcterms:created xsi:type="dcterms:W3CDTF">2024-10-16T12:11:00Z</dcterms:created>
  <dcterms:modified xsi:type="dcterms:W3CDTF">2024-10-16T12:18:00Z</dcterms:modified>
</cp:coreProperties>
</file>