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79" w:rsidRPr="001275F4" w:rsidRDefault="00283D79" w:rsidP="001275F4">
      <w:pPr>
        <w:pStyle w:val="2"/>
        <w:spacing w:before="0"/>
        <w:jc w:val="center"/>
        <w:rPr>
          <w:rFonts w:ascii="Arial" w:hAnsi="Arial" w:cs="Arial"/>
          <w:b w:val="0"/>
          <w:bCs w:val="0"/>
          <w:sz w:val="24"/>
          <w:szCs w:val="24"/>
        </w:rPr>
      </w:pPr>
      <w:r>
        <w:rPr>
          <w:rFonts w:ascii="Arial" w:hAnsi="Arial"/>
          <w:bCs w:val="0"/>
          <w:sz w:val="24"/>
          <w:szCs w:val="24"/>
        </w:rPr>
        <w:t>TURNOVER TAX</w:t>
      </w:r>
      <w:r>
        <w:rPr>
          <w:rFonts w:ascii="Arial" w:hAnsi="Arial"/>
          <w:b w:val="0"/>
          <w:bCs w:val="0"/>
          <w:sz w:val="24"/>
          <w:szCs w:val="24"/>
        </w:rPr>
        <w:t xml:space="preserve"> (Chapter 66 of the Tax Code of Uzbekistan)</w:t>
      </w:r>
    </w:p>
    <w:p w:rsidR="00283D79" w:rsidRPr="001275F4" w:rsidRDefault="00283D79" w:rsidP="001275F4">
      <w:pPr>
        <w:spacing w:after="0" w:line="276" w:lineRule="auto"/>
        <w:jc w:val="center"/>
        <w:rPr>
          <w:rFonts w:ascii="Arial" w:hAnsi="Arial" w:cs="Arial"/>
          <w:sz w:val="24"/>
          <w:szCs w:val="24"/>
          <w:lang w:eastAsia="ru-RU"/>
        </w:rPr>
      </w:pPr>
    </w:p>
    <w:p w:rsidR="00283D79" w:rsidRPr="001275F4" w:rsidRDefault="00283D79" w:rsidP="001275F4">
      <w:pPr>
        <w:spacing w:after="0" w:line="276" w:lineRule="auto"/>
        <w:ind w:firstLine="709"/>
        <w:jc w:val="both"/>
        <w:rPr>
          <w:rFonts w:ascii="Arial" w:hAnsi="Arial" w:cs="Arial"/>
          <w:b/>
          <w:sz w:val="24"/>
          <w:szCs w:val="24"/>
        </w:rPr>
      </w:pPr>
      <w:r>
        <w:rPr>
          <w:rFonts w:ascii="Arial" w:hAnsi="Arial"/>
          <w:sz w:val="24"/>
          <w:szCs w:val="24"/>
        </w:rPr>
        <w:t>The following entities shall be defined as turnover tax payers:</w:t>
      </w:r>
    </w:p>
    <w:p w:rsidR="00283D79" w:rsidRPr="001275F4" w:rsidRDefault="00283D79" w:rsidP="001275F4">
      <w:pPr>
        <w:tabs>
          <w:tab w:val="left" w:pos="1134"/>
        </w:tabs>
        <w:spacing w:after="0" w:line="276" w:lineRule="auto"/>
        <w:ind w:firstLine="709"/>
        <w:jc w:val="both"/>
        <w:rPr>
          <w:rFonts w:ascii="Arial" w:hAnsi="Arial" w:cs="Arial"/>
          <w:sz w:val="24"/>
          <w:szCs w:val="24"/>
        </w:rPr>
      </w:pPr>
      <w:r>
        <w:rPr>
          <w:rFonts w:ascii="Arial" w:hAnsi="Arial"/>
          <w:sz w:val="24"/>
          <w:szCs w:val="24"/>
        </w:rPr>
        <w:t>1) Legal entities of the Republic of Uzbekistan, whose income from sale of goods (services) for the tax period does not exceed one billion UZS;</w:t>
      </w:r>
    </w:p>
    <w:p w:rsidR="00283D79" w:rsidRPr="001275F4" w:rsidRDefault="00283D79" w:rsidP="001275F4">
      <w:pPr>
        <w:tabs>
          <w:tab w:val="left" w:pos="993"/>
          <w:tab w:val="left" w:pos="1134"/>
        </w:tabs>
        <w:spacing w:after="0" w:line="276" w:lineRule="auto"/>
        <w:ind w:firstLine="709"/>
        <w:jc w:val="both"/>
        <w:rPr>
          <w:rFonts w:ascii="Arial" w:hAnsi="Arial" w:cs="Arial"/>
          <w:sz w:val="24"/>
          <w:szCs w:val="24"/>
        </w:rPr>
      </w:pPr>
      <w:r>
        <w:rPr>
          <w:rFonts w:ascii="Arial" w:hAnsi="Arial"/>
          <w:sz w:val="24"/>
          <w:szCs w:val="24"/>
        </w:rPr>
        <w:t xml:space="preserve">2) Individual entrepreneurs whose income from sale of goods (services) for the tax period exceeds one hundred million UZS but </w:t>
      </w:r>
      <w:r w:rsidR="005F4F0B">
        <w:rPr>
          <w:rFonts w:ascii="Arial" w:hAnsi="Arial"/>
          <w:sz w:val="24"/>
          <w:szCs w:val="24"/>
        </w:rPr>
        <w:t>does not exceed</w:t>
      </w:r>
      <w:r>
        <w:rPr>
          <w:rFonts w:ascii="Arial" w:hAnsi="Arial"/>
          <w:sz w:val="24"/>
          <w:szCs w:val="24"/>
        </w:rPr>
        <w:t xml:space="preserve"> one billion UZS.</w:t>
      </w:r>
    </w:p>
    <w:p w:rsidR="00283D79" w:rsidRPr="001275F4" w:rsidRDefault="00283D79" w:rsidP="001275F4">
      <w:pPr>
        <w:spacing w:after="0" w:line="276" w:lineRule="auto"/>
        <w:ind w:firstLine="709"/>
        <w:jc w:val="both"/>
        <w:rPr>
          <w:rFonts w:ascii="Arial" w:hAnsi="Arial" w:cs="Arial"/>
          <w:b/>
          <w:sz w:val="24"/>
          <w:szCs w:val="24"/>
        </w:rPr>
      </w:pPr>
    </w:p>
    <w:p w:rsidR="00283D79" w:rsidRPr="001275F4" w:rsidRDefault="00283D79" w:rsidP="001275F4">
      <w:pPr>
        <w:pStyle w:val="2"/>
        <w:spacing w:before="0"/>
        <w:ind w:firstLine="720"/>
        <w:rPr>
          <w:rFonts w:ascii="Arial" w:hAnsi="Arial" w:cs="Arial"/>
          <w:sz w:val="24"/>
          <w:szCs w:val="24"/>
        </w:rPr>
      </w:pPr>
      <w:r>
        <w:rPr>
          <w:rFonts w:ascii="Arial" w:hAnsi="Arial"/>
          <w:sz w:val="24"/>
          <w:szCs w:val="24"/>
        </w:rPr>
        <w:t>Subject of taxation</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The aggregate income shall be defined as the subject of taxation and tax base.</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The tax base shall be defined as the aggregate income net of the following:</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shd w:val="clear" w:color="auto" w:fill="FFFFFF"/>
        </w:rPr>
        <w:t xml:space="preserve">1) Income on sovereign bonds and other state securities of the Republic of Uzbekistan as well as income on international bonds of legal entities </w:t>
      </w:r>
      <w:r w:rsidR="00707FE8">
        <w:rPr>
          <w:rFonts w:ascii="Arial" w:hAnsi="Arial"/>
          <w:sz w:val="24"/>
          <w:szCs w:val="24"/>
          <w:shd w:val="clear" w:color="auto" w:fill="FFFFFF"/>
        </w:rPr>
        <w:t>–</w:t>
      </w:r>
      <w:r>
        <w:rPr>
          <w:rFonts w:ascii="Arial" w:hAnsi="Arial"/>
          <w:sz w:val="24"/>
          <w:szCs w:val="24"/>
          <w:shd w:val="clear" w:color="auto" w:fill="FFFFFF"/>
        </w:rPr>
        <w:t xml:space="preserve"> residents of the Republic of Uzbekistan.</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2) Dividends subject to taxation at the tax agent;</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3) Cost of returnable multi-turnover packaging, if its cost is previously recorded in the composition of income from sale of goods (services);</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4) Income received at liquidation of depreciable assets due to amount of their final appraisal exceeding the amount of previous price reductions;</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 xml:space="preserve">5) Income of past years identified in the reporting year. This income shall be taxable taking into account recalculation of taxes in accordance with legislation of the period when they emerged; </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6) Income received from the sale of goods (services) for export, if income from the export of goods (services) exceeds 15% of total income.</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Tax base except for</w:t>
      </w:r>
      <w:r w:rsidR="00800AFA">
        <w:rPr>
          <w:rFonts w:ascii="Arial" w:hAnsi="Arial"/>
          <w:sz w:val="24"/>
          <w:szCs w:val="24"/>
        </w:rPr>
        <w:t xml:space="preserve"> deductions stipulated by Part O</w:t>
      </w:r>
      <w:r>
        <w:rPr>
          <w:rFonts w:ascii="Arial" w:hAnsi="Arial"/>
          <w:sz w:val="24"/>
          <w:szCs w:val="24"/>
        </w:rPr>
        <w:t>ne of this Article shall be reduced for:</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1) Broker companies – by amount of commission fee paid to</w:t>
      </w:r>
      <w:r w:rsidR="00800AFA">
        <w:rPr>
          <w:rFonts w:ascii="Arial" w:hAnsi="Arial"/>
          <w:sz w:val="24"/>
          <w:szCs w:val="24"/>
        </w:rPr>
        <w:t xml:space="preserve"> an</w:t>
      </w:r>
      <w:r>
        <w:rPr>
          <w:rFonts w:ascii="Arial" w:hAnsi="Arial"/>
          <w:sz w:val="24"/>
          <w:szCs w:val="24"/>
        </w:rPr>
        <w:t xml:space="preserve"> exchange from amount of transaction;</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2) Legal entities performing intermediary services under commis</w:t>
      </w:r>
      <w:r w:rsidR="00707FE8">
        <w:rPr>
          <w:rFonts w:ascii="Arial" w:hAnsi="Arial"/>
          <w:sz w:val="24"/>
          <w:szCs w:val="24"/>
        </w:rPr>
        <w:t xml:space="preserve">sion, delegation agreement – by </w:t>
      </w:r>
      <w:r>
        <w:rPr>
          <w:rFonts w:ascii="Arial" w:hAnsi="Arial"/>
          <w:sz w:val="24"/>
          <w:szCs w:val="24"/>
        </w:rPr>
        <w:t>amount of customs fees paid at import of goods in a share of sold goods;</w:t>
      </w:r>
    </w:p>
    <w:p w:rsidR="00283D79" w:rsidRPr="001275F4" w:rsidRDefault="00283D79" w:rsidP="001275F4">
      <w:pPr>
        <w:spacing w:after="0" w:line="276" w:lineRule="auto"/>
        <w:ind w:firstLine="709"/>
        <w:jc w:val="both"/>
        <w:rPr>
          <w:rFonts w:ascii="Arial" w:hAnsi="Arial" w:cs="Arial"/>
          <w:sz w:val="24"/>
          <w:szCs w:val="24"/>
        </w:rPr>
      </w:pPr>
      <w:r>
        <w:rPr>
          <w:rFonts w:ascii="Arial" w:hAnsi="Arial"/>
          <w:sz w:val="24"/>
          <w:szCs w:val="24"/>
        </w:rPr>
        <w:t>3) Su</w:t>
      </w:r>
      <w:r w:rsidR="00707FE8">
        <w:rPr>
          <w:rFonts w:ascii="Arial" w:hAnsi="Arial"/>
          <w:sz w:val="24"/>
          <w:szCs w:val="24"/>
        </w:rPr>
        <w:t xml:space="preserve">bjects of tourist activity – by </w:t>
      </w:r>
      <w:r>
        <w:rPr>
          <w:rFonts w:ascii="Arial" w:hAnsi="Arial"/>
          <w:sz w:val="24"/>
          <w:szCs w:val="24"/>
        </w:rPr>
        <w:t>amount of funds directed at implementation of software products and information systems on online-booking and sale of tourist services.</w:t>
      </w:r>
    </w:p>
    <w:p w:rsidR="00283D79" w:rsidRPr="001275F4" w:rsidRDefault="00283D79" w:rsidP="001275F4">
      <w:pPr>
        <w:spacing w:after="0" w:line="276" w:lineRule="auto"/>
        <w:jc w:val="both"/>
        <w:rPr>
          <w:rFonts w:ascii="Arial" w:hAnsi="Arial" w:cs="Arial"/>
          <w:sz w:val="24"/>
          <w:szCs w:val="24"/>
        </w:rPr>
      </w:pPr>
    </w:p>
    <w:p w:rsidR="00283D79" w:rsidRPr="001275F4" w:rsidRDefault="00283D79" w:rsidP="001275F4">
      <w:pPr>
        <w:pStyle w:val="2"/>
        <w:spacing w:before="0"/>
        <w:ind w:firstLine="709"/>
        <w:rPr>
          <w:rFonts w:ascii="Arial" w:hAnsi="Arial" w:cs="Arial"/>
          <w:bCs w:val="0"/>
          <w:sz w:val="24"/>
          <w:szCs w:val="24"/>
        </w:rPr>
      </w:pPr>
      <w:r>
        <w:rPr>
          <w:rFonts w:ascii="Arial" w:hAnsi="Arial"/>
          <w:bCs w:val="0"/>
          <w:sz w:val="24"/>
          <w:szCs w:val="24"/>
        </w:rPr>
        <w:t>Tax rate</w:t>
      </w:r>
    </w:p>
    <w:p w:rsidR="00CC1F38" w:rsidRPr="001275F4" w:rsidRDefault="00CC1F38" w:rsidP="00707FE8">
      <w:pPr>
        <w:tabs>
          <w:tab w:val="left" w:pos="426"/>
        </w:tabs>
        <w:autoSpaceDE w:val="0"/>
        <w:autoSpaceDN w:val="0"/>
        <w:adjustRightInd w:val="0"/>
        <w:spacing w:after="0" w:line="276" w:lineRule="auto"/>
        <w:ind w:firstLine="567"/>
        <w:jc w:val="both"/>
        <w:rPr>
          <w:rFonts w:ascii="Arial" w:hAnsi="Arial" w:cs="Arial"/>
          <w:sz w:val="24"/>
          <w:szCs w:val="24"/>
        </w:rPr>
      </w:pPr>
      <w:r>
        <w:rPr>
          <w:rFonts w:ascii="Arial" w:hAnsi="Arial"/>
          <w:sz w:val="24"/>
          <w:szCs w:val="24"/>
        </w:rPr>
        <w:t xml:space="preserve">The basic turnover tax rate shall be set at four percent of the tax base. </w:t>
      </w:r>
    </w:p>
    <w:p w:rsidR="00283D79" w:rsidRPr="001275F4" w:rsidRDefault="00CC1F38" w:rsidP="00707FE8">
      <w:pPr>
        <w:tabs>
          <w:tab w:val="left" w:pos="426"/>
        </w:tabs>
        <w:autoSpaceDE w:val="0"/>
        <w:autoSpaceDN w:val="0"/>
        <w:adjustRightInd w:val="0"/>
        <w:spacing w:after="0" w:line="276" w:lineRule="auto"/>
        <w:ind w:firstLine="567"/>
        <w:jc w:val="both"/>
        <w:rPr>
          <w:rFonts w:ascii="Arial" w:hAnsi="Arial" w:cs="Arial"/>
          <w:sz w:val="24"/>
          <w:szCs w:val="24"/>
        </w:rPr>
      </w:pPr>
      <w:r>
        <w:rPr>
          <w:rFonts w:ascii="Arial" w:hAnsi="Arial"/>
          <w:sz w:val="24"/>
          <w:szCs w:val="24"/>
        </w:rPr>
        <w:t xml:space="preserve">In some cases, </w:t>
      </w:r>
      <w:r w:rsidR="00800AFA">
        <w:rPr>
          <w:rFonts w:ascii="Arial" w:hAnsi="Arial"/>
          <w:sz w:val="24"/>
          <w:szCs w:val="24"/>
        </w:rPr>
        <w:t xml:space="preserve">rates </w:t>
      </w:r>
      <w:r>
        <w:rPr>
          <w:rFonts w:ascii="Arial" w:hAnsi="Arial"/>
          <w:sz w:val="24"/>
          <w:szCs w:val="24"/>
        </w:rPr>
        <w:t>from 0 to 25 percent of the tax base shall be applied.</w:t>
      </w:r>
    </w:p>
    <w:p w:rsidR="00283D79" w:rsidRPr="001275F4" w:rsidRDefault="00283D79" w:rsidP="001275F4">
      <w:pPr>
        <w:spacing w:after="0" w:line="276" w:lineRule="auto"/>
        <w:ind w:firstLine="567"/>
        <w:jc w:val="both"/>
        <w:rPr>
          <w:rFonts w:ascii="Arial" w:hAnsi="Arial" w:cs="Arial"/>
          <w:sz w:val="24"/>
          <w:szCs w:val="24"/>
        </w:rPr>
      </w:pPr>
      <w:r>
        <w:rPr>
          <w:rFonts w:ascii="Arial" w:hAnsi="Arial"/>
          <w:b/>
          <w:bCs/>
          <w:sz w:val="24"/>
          <w:szCs w:val="24"/>
        </w:rPr>
        <w:t>Tax period</w:t>
      </w:r>
      <w:r>
        <w:rPr>
          <w:rFonts w:ascii="Arial" w:hAnsi="Arial"/>
          <w:sz w:val="24"/>
          <w:szCs w:val="24"/>
        </w:rPr>
        <w:t xml:space="preserve"> shall be a calendar year. </w:t>
      </w:r>
    </w:p>
    <w:p w:rsidR="00283D79" w:rsidRPr="001275F4" w:rsidRDefault="00283D79" w:rsidP="001275F4">
      <w:pPr>
        <w:spacing w:after="0" w:line="276" w:lineRule="auto"/>
        <w:ind w:firstLine="567"/>
        <w:jc w:val="both"/>
        <w:rPr>
          <w:rFonts w:ascii="Arial" w:hAnsi="Arial" w:cs="Arial"/>
          <w:sz w:val="24"/>
          <w:szCs w:val="24"/>
        </w:rPr>
      </w:pPr>
      <w:r>
        <w:rPr>
          <w:rFonts w:ascii="Arial" w:hAnsi="Arial"/>
          <w:b/>
          <w:bCs/>
          <w:sz w:val="24"/>
          <w:szCs w:val="24"/>
        </w:rPr>
        <w:t>Reporting period</w:t>
      </w:r>
      <w:r>
        <w:rPr>
          <w:rFonts w:ascii="Arial" w:hAnsi="Arial"/>
          <w:sz w:val="24"/>
          <w:szCs w:val="24"/>
        </w:rPr>
        <w:t xml:space="preserve"> shall be a quarter.</w:t>
      </w:r>
    </w:p>
    <w:p w:rsidR="00283D79" w:rsidRPr="001275F4" w:rsidRDefault="00283D79" w:rsidP="001275F4">
      <w:pPr>
        <w:spacing w:after="0" w:line="276" w:lineRule="auto"/>
        <w:ind w:firstLine="567"/>
        <w:jc w:val="both"/>
        <w:rPr>
          <w:rFonts w:ascii="Arial" w:hAnsi="Arial" w:cs="Arial"/>
          <w:b/>
          <w:sz w:val="24"/>
          <w:szCs w:val="24"/>
        </w:rPr>
      </w:pPr>
    </w:p>
    <w:p w:rsidR="00283D79" w:rsidRPr="001275F4" w:rsidRDefault="00283D79" w:rsidP="001275F4">
      <w:pPr>
        <w:pStyle w:val="2"/>
        <w:spacing w:before="0"/>
        <w:ind w:firstLine="709"/>
        <w:rPr>
          <w:rFonts w:ascii="Arial" w:hAnsi="Arial" w:cs="Arial"/>
          <w:sz w:val="24"/>
          <w:szCs w:val="24"/>
        </w:rPr>
      </w:pPr>
      <w:r>
        <w:rPr>
          <w:rFonts w:ascii="Arial" w:hAnsi="Arial"/>
          <w:sz w:val="24"/>
          <w:szCs w:val="24"/>
        </w:rPr>
        <w:t>Procedure for submission of tax reporting and payment of turnover tax</w:t>
      </w:r>
    </w:p>
    <w:p w:rsidR="00283D79" w:rsidRPr="001275F4" w:rsidRDefault="00283D79" w:rsidP="001275F4">
      <w:pPr>
        <w:spacing w:after="0" w:line="276" w:lineRule="auto"/>
        <w:ind w:firstLine="567"/>
        <w:jc w:val="both"/>
        <w:rPr>
          <w:rFonts w:ascii="Arial" w:hAnsi="Arial" w:cs="Arial"/>
          <w:sz w:val="24"/>
          <w:szCs w:val="24"/>
        </w:rPr>
      </w:pPr>
      <w:r>
        <w:rPr>
          <w:rFonts w:ascii="Arial" w:hAnsi="Arial"/>
          <w:sz w:val="24"/>
          <w:szCs w:val="24"/>
        </w:rPr>
        <w:t xml:space="preserve">Tax reporting shall be submitted to the tax authority at the place of tax registration within the following period: </w:t>
      </w:r>
    </w:p>
    <w:p w:rsidR="00283D79" w:rsidRPr="001275F4" w:rsidRDefault="00283D79" w:rsidP="001275F4">
      <w:pPr>
        <w:tabs>
          <w:tab w:val="left" w:pos="993"/>
        </w:tabs>
        <w:spacing w:after="0" w:line="276" w:lineRule="auto"/>
        <w:ind w:firstLine="567"/>
        <w:jc w:val="both"/>
        <w:rPr>
          <w:rFonts w:ascii="Arial" w:hAnsi="Arial" w:cs="Arial"/>
          <w:sz w:val="24"/>
          <w:szCs w:val="24"/>
        </w:rPr>
      </w:pPr>
      <w:r>
        <w:rPr>
          <w:rFonts w:ascii="Arial" w:hAnsi="Arial"/>
          <w:sz w:val="24"/>
          <w:szCs w:val="24"/>
        </w:rPr>
        <w:t xml:space="preserve">1) At the end of the reporting period </w:t>
      </w:r>
      <w:r w:rsidR="00707FE8">
        <w:rPr>
          <w:rFonts w:ascii="Arial" w:hAnsi="Arial"/>
          <w:sz w:val="24"/>
          <w:szCs w:val="24"/>
        </w:rPr>
        <w:t>–</w:t>
      </w:r>
      <w:r>
        <w:rPr>
          <w:rFonts w:ascii="Arial" w:hAnsi="Arial"/>
          <w:sz w:val="24"/>
          <w:szCs w:val="24"/>
        </w:rPr>
        <w:t xml:space="preserve"> not</w:t>
      </w:r>
      <w:r w:rsidR="00707FE8">
        <w:rPr>
          <w:rFonts w:ascii="Arial" w:hAnsi="Arial"/>
          <w:sz w:val="24"/>
          <w:szCs w:val="24"/>
        </w:rPr>
        <w:t xml:space="preserve"> </w:t>
      </w:r>
      <w:r>
        <w:rPr>
          <w:rFonts w:ascii="Arial" w:hAnsi="Arial"/>
          <w:sz w:val="24"/>
          <w:szCs w:val="24"/>
        </w:rPr>
        <w:t>later than the fifteenth day of the month following the reporting period;</w:t>
      </w:r>
    </w:p>
    <w:p w:rsidR="00283D79" w:rsidRPr="001275F4" w:rsidRDefault="00283D79" w:rsidP="001275F4">
      <w:pPr>
        <w:tabs>
          <w:tab w:val="left" w:pos="993"/>
        </w:tabs>
        <w:spacing w:after="0" w:line="276" w:lineRule="auto"/>
        <w:ind w:firstLine="567"/>
        <w:jc w:val="both"/>
        <w:rPr>
          <w:rFonts w:ascii="Arial" w:hAnsi="Arial" w:cs="Arial"/>
          <w:sz w:val="24"/>
          <w:szCs w:val="24"/>
        </w:rPr>
      </w:pPr>
      <w:r>
        <w:rPr>
          <w:rFonts w:ascii="Arial" w:hAnsi="Arial"/>
          <w:sz w:val="24"/>
          <w:szCs w:val="24"/>
        </w:rPr>
        <w:t xml:space="preserve">2) At the end of a tax period </w:t>
      </w:r>
      <w:r w:rsidR="00707FE8">
        <w:rPr>
          <w:rFonts w:ascii="Arial" w:hAnsi="Arial"/>
          <w:sz w:val="24"/>
          <w:szCs w:val="24"/>
        </w:rPr>
        <w:t>–</w:t>
      </w:r>
      <w:r>
        <w:rPr>
          <w:rFonts w:ascii="Arial" w:hAnsi="Arial"/>
          <w:sz w:val="24"/>
          <w:szCs w:val="24"/>
        </w:rPr>
        <w:t xml:space="preserve"> not</w:t>
      </w:r>
      <w:r w:rsidR="00707FE8">
        <w:rPr>
          <w:rFonts w:ascii="Arial" w:hAnsi="Arial"/>
          <w:sz w:val="24"/>
          <w:szCs w:val="24"/>
        </w:rPr>
        <w:t xml:space="preserve"> </w:t>
      </w:r>
      <w:r>
        <w:rPr>
          <w:rFonts w:ascii="Arial" w:hAnsi="Arial"/>
          <w:sz w:val="24"/>
          <w:szCs w:val="24"/>
        </w:rPr>
        <w:t xml:space="preserve">later than February 15, following the expired tax period. </w:t>
      </w:r>
    </w:p>
    <w:p w:rsidR="00283D79" w:rsidRPr="001275F4" w:rsidRDefault="00283D79" w:rsidP="001275F4">
      <w:pPr>
        <w:spacing w:after="0" w:line="276" w:lineRule="auto"/>
        <w:ind w:firstLine="567"/>
        <w:jc w:val="both"/>
        <w:rPr>
          <w:rFonts w:ascii="Arial" w:hAnsi="Arial" w:cs="Arial"/>
          <w:sz w:val="24"/>
          <w:szCs w:val="24"/>
        </w:rPr>
      </w:pPr>
      <w:r>
        <w:rPr>
          <w:rFonts w:ascii="Arial" w:hAnsi="Arial"/>
          <w:sz w:val="24"/>
          <w:szCs w:val="24"/>
        </w:rPr>
        <w:lastRenderedPageBreak/>
        <w:t>Payment of tax shall be made at the end of the reporting (tax) period no later than the deadlines for submission of tax reporting for the respective reporting (tax) period.</w:t>
      </w:r>
    </w:p>
    <w:p w:rsidR="00FC72AC" w:rsidRPr="001275F4" w:rsidRDefault="00FC72AC" w:rsidP="001275F4">
      <w:pPr>
        <w:tabs>
          <w:tab w:val="left" w:pos="426"/>
        </w:tabs>
        <w:autoSpaceDE w:val="0"/>
        <w:autoSpaceDN w:val="0"/>
        <w:adjustRightInd w:val="0"/>
        <w:spacing w:after="0" w:line="276" w:lineRule="auto"/>
        <w:ind w:firstLine="709"/>
        <w:jc w:val="both"/>
        <w:rPr>
          <w:rFonts w:ascii="Arial" w:hAnsi="Arial" w:cs="Arial"/>
          <w:sz w:val="24"/>
          <w:szCs w:val="24"/>
        </w:rPr>
      </w:pPr>
    </w:p>
    <w:p w:rsidR="00FC72AC" w:rsidRPr="001275F4" w:rsidRDefault="00FC72AC" w:rsidP="001275F4">
      <w:pPr>
        <w:tabs>
          <w:tab w:val="left" w:pos="426"/>
        </w:tabs>
        <w:autoSpaceDE w:val="0"/>
        <w:autoSpaceDN w:val="0"/>
        <w:adjustRightInd w:val="0"/>
        <w:spacing w:after="0" w:line="276" w:lineRule="auto"/>
        <w:ind w:firstLine="709"/>
        <w:jc w:val="both"/>
        <w:rPr>
          <w:rFonts w:ascii="Arial" w:hAnsi="Arial" w:cs="Arial"/>
          <w:sz w:val="24"/>
          <w:szCs w:val="24"/>
        </w:rPr>
      </w:pPr>
      <w:r>
        <w:rPr>
          <w:rFonts w:ascii="Arial" w:hAnsi="Arial"/>
          <w:sz w:val="24"/>
          <w:szCs w:val="24"/>
        </w:rPr>
        <w:t xml:space="preserve">Tax rates shall be set </w:t>
      </w:r>
      <w:r w:rsidR="00800AFA">
        <w:rPr>
          <w:rFonts w:ascii="Arial" w:hAnsi="Arial"/>
          <w:sz w:val="24"/>
          <w:szCs w:val="24"/>
        </w:rPr>
        <w:t>in</w:t>
      </w:r>
      <w:r>
        <w:rPr>
          <w:rFonts w:ascii="Arial" w:hAnsi="Arial"/>
          <w:sz w:val="24"/>
          <w:szCs w:val="24"/>
        </w:rPr>
        <w:t xml:space="preserve"> the following </w:t>
      </w:r>
      <w:r w:rsidR="00707FE8">
        <w:rPr>
          <w:rFonts w:ascii="Arial" w:hAnsi="Arial"/>
          <w:sz w:val="24"/>
          <w:szCs w:val="24"/>
        </w:rPr>
        <w:t xml:space="preserve">amounts </w:t>
      </w:r>
      <w:r>
        <w:rPr>
          <w:rFonts w:ascii="Arial" w:hAnsi="Arial"/>
          <w:sz w:val="24"/>
          <w:szCs w:val="24"/>
        </w:rPr>
        <w:t>(Article 467):</w:t>
      </w:r>
    </w:p>
    <w:p w:rsidR="00FC72AC" w:rsidRPr="001275F4" w:rsidRDefault="00FC72AC" w:rsidP="001275F4">
      <w:pPr>
        <w:tabs>
          <w:tab w:val="left" w:pos="426"/>
        </w:tabs>
        <w:autoSpaceDE w:val="0"/>
        <w:autoSpaceDN w:val="0"/>
        <w:adjustRightInd w:val="0"/>
        <w:spacing w:after="0" w:line="276" w:lineRule="auto"/>
        <w:ind w:firstLine="709"/>
        <w:jc w:val="both"/>
        <w:rPr>
          <w:rFonts w:ascii="Arial" w:hAnsi="Arial" w:cs="Arial"/>
          <w:sz w:val="24"/>
          <w:szCs w:val="24"/>
        </w:rPr>
      </w:pPr>
    </w:p>
    <w:tbl>
      <w:tblPr>
        <w:tblStyle w:val="a3"/>
        <w:tblW w:w="10206" w:type="dxa"/>
        <w:tblInd w:w="-459" w:type="dxa"/>
        <w:tblLayout w:type="fixed"/>
        <w:tblLook w:val="04A0" w:firstRow="1" w:lastRow="0" w:firstColumn="1" w:lastColumn="0" w:noHBand="0" w:noVBand="1"/>
      </w:tblPr>
      <w:tblGrid>
        <w:gridCol w:w="851"/>
        <w:gridCol w:w="6946"/>
        <w:gridCol w:w="2409"/>
      </w:tblGrid>
      <w:tr w:rsidR="00FC72AC" w:rsidRPr="001275F4" w:rsidTr="001275F4">
        <w:trPr>
          <w:tblHeader/>
        </w:trPr>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b/>
                <w:sz w:val="24"/>
                <w:szCs w:val="24"/>
              </w:rPr>
            </w:pPr>
            <w:r>
              <w:rPr>
                <w:rFonts w:ascii="Arial" w:hAnsi="Arial"/>
                <w:b/>
                <w:sz w:val="24"/>
                <w:szCs w:val="24"/>
              </w:rPr>
              <w:t>No.</w:t>
            </w:r>
          </w:p>
        </w:tc>
        <w:tc>
          <w:tcPr>
            <w:tcW w:w="6946" w:type="dxa"/>
            <w:vAlign w:val="center"/>
          </w:tcPr>
          <w:p w:rsidR="00FC72AC" w:rsidRPr="001275F4" w:rsidRDefault="00FC72AC" w:rsidP="001275F4">
            <w:pPr>
              <w:spacing w:line="276" w:lineRule="auto"/>
              <w:jc w:val="center"/>
              <w:rPr>
                <w:rFonts w:ascii="Arial" w:hAnsi="Arial" w:cs="Arial"/>
                <w:b/>
                <w:sz w:val="24"/>
                <w:szCs w:val="24"/>
              </w:rPr>
            </w:pPr>
            <w:r>
              <w:rPr>
                <w:rFonts w:ascii="Arial" w:hAnsi="Arial"/>
                <w:b/>
                <w:sz w:val="24"/>
                <w:szCs w:val="24"/>
              </w:rPr>
              <w:t>Taxpayers</w:t>
            </w:r>
          </w:p>
        </w:tc>
        <w:tc>
          <w:tcPr>
            <w:tcW w:w="2409" w:type="dxa"/>
            <w:vAlign w:val="center"/>
          </w:tcPr>
          <w:p w:rsidR="00FC72AC" w:rsidRPr="001275F4" w:rsidRDefault="00FC72AC" w:rsidP="0012308E">
            <w:pPr>
              <w:spacing w:line="276" w:lineRule="auto"/>
              <w:jc w:val="center"/>
              <w:rPr>
                <w:rFonts w:ascii="Arial" w:eastAsia="Times New Roman" w:hAnsi="Arial" w:cs="Arial"/>
                <w:sz w:val="24"/>
                <w:szCs w:val="24"/>
              </w:rPr>
            </w:pPr>
            <w:r>
              <w:rPr>
                <w:rFonts w:ascii="Arial" w:hAnsi="Arial"/>
                <w:b/>
                <w:sz w:val="24"/>
                <w:szCs w:val="24"/>
              </w:rPr>
              <w:t>Tax rates, as a</w:t>
            </w:r>
            <w:r w:rsidR="00800AFA">
              <w:rPr>
                <w:rFonts w:ascii="Arial" w:hAnsi="Arial"/>
                <w:b/>
                <w:sz w:val="24"/>
                <w:szCs w:val="24"/>
              </w:rPr>
              <w:t xml:space="preserve"> percentage</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1</w:t>
            </w:r>
          </w:p>
        </w:tc>
        <w:tc>
          <w:tcPr>
            <w:tcW w:w="6946" w:type="dxa"/>
          </w:tcPr>
          <w:p w:rsidR="00FC72AC" w:rsidRPr="001275F4" w:rsidRDefault="00FC72AC" w:rsidP="001275F4">
            <w:pPr>
              <w:autoSpaceDE w:val="0"/>
              <w:autoSpaceDN w:val="0"/>
              <w:adjustRightInd w:val="0"/>
              <w:spacing w:line="276" w:lineRule="auto"/>
              <w:ind w:left="-47" w:firstLine="233"/>
              <w:jc w:val="both"/>
              <w:rPr>
                <w:rFonts w:ascii="Arial" w:hAnsi="Arial" w:cs="Arial"/>
                <w:sz w:val="24"/>
                <w:szCs w:val="24"/>
              </w:rPr>
            </w:pPr>
            <w:r>
              <w:rPr>
                <w:rFonts w:ascii="Arial" w:hAnsi="Arial"/>
                <w:sz w:val="24"/>
                <w:szCs w:val="24"/>
              </w:rPr>
              <w:t>Taxpayers in all sectors of the economy, except as provided for in paragraphs 2-14</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4</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2</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Legal entities rendering customs clearance services (customs brokers)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5</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3</w:t>
            </w:r>
          </w:p>
        </w:tc>
        <w:tc>
          <w:tcPr>
            <w:tcW w:w="6946" w:type="dxa"/>
          </w:tcPr>
          <w:p w:rsidR="00FC72AC" w:rsidRPr="001275F4" w:rsidRDefault="00800AFA" w:rsidP="001275F4">
            <w:pPr>
              <w:autoSpaceDE w:val="0"/>
              <w:autoSpaceDN w:val="0"/>
              <w:adjustRightInd w:val="0"/>
              <w:spacing w:line="276" w:lineRule="auto"/>
              <w:ind w:left="-47" w:firstLine="233"/>
              <w:jc w:val="both"/>
              <w:rPr>
                <w:rFonts w:ascii="Arial" w:hAnsi="Arial" w:cs="Arial"/>
                <w:sz w:val="24"/>
                <w:szCs w:val="24"/>
              </w:rPr>
            </w:pPr>
            <w:r>
              <w:rPr>
                <w:rFonts w:ascii="Arial" w:hAnsi="Arial"/>
                <w:sz w:val="24"/>
                <w:szCs w:val="24"/>
              </w:rPr>
              <w:t>Pawn shops</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25</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4</w:t>
            </w:r>
          </w:p>
        </w:tc>
        <w:tc>
          <w:tcPr>
            <w:tcW w:w="6946" w:type="dxa"/>
          </w:tcPr>
          <w:p w:rsidR="00FC72AC" w:rsidRPr="001275F4" w:rsidRDefault="00FC72AC" w:rsidP="001275F4">
            <w:pPr>
              <w:pStyle w:val="rvps3"/>
              <w:spacing w:before="0" w:beforeAutospacing="0" w:after="0" w:afterAutospacing="0" w:line="276" w:lineRule="auto"/>
              <w:ind w:left="-47" w:firstLine="233"/>
              <w:jc w:val="both"/>
              <w:rPr>
                <w:rFonts w:ascii="Arial" w:hAnsi="Arial" w:cs="Arial"/>
              </w:rPr>
            </w:pPr>
            <w:r>
              <w:rPr>
                <w:rStyle w:val="rvts20"/>
                <w:rFonts w:ascii="Arial" w:hAnsi="Arial"/>
              </w:rPr>
              <w:t>Legal entities that receive income from the organization of mass entertainment events by attracting legal entities and individuals (including non-residents) that possess licenses to engage in concert and entertainment activities</w:t>
            </w:r>
            <w:r>
              <w:rPr>
                <w:rStyle w:val="rvts22"/>
                <w:rFonts w:ascii="Arial" w:hAnsi="Arial"/>
              </w:rPr>
              <w:t xml:space="preserve">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5</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5</w:t>
            </w:r>
          </w:p>
        </w:tc>
        <w:tc>
          <w:tcPr>
            <w:tcW w:w="6946" w:type="dxa"/>
          </w:tcPr>
          <w:p w:rsidR="00FC72AC" w:rsidRPr="001275F4" w:rsidRDefault="00FC72AC" w:rsidP="001275F4">
            <w:pPr>
              <w:spacing w:line="276" w:lineRule="auto"/>
              <w:ind w:left="-47" w:firstLine="233"/>
              <w:jc w:val="both"/>
              <w:rPr>
                <w:rFonts w:ascii="Arial" w:hAnsi="Arial" w:cs="Arial"/>
                <w:sz w:val="24"/>
                <w:szCs w:val="24"/>
              </w:rPr>
            </w:pPr>
            <w:r>
              <w:rPr>
                <w:rFonts w:ascii="Arial" w:hAnsi="Arial"/>
                <w:sz w:val="24"/>
                <w:szCs w:val="24"/>
              </w:rPr>
              <w:t xml:space="preserve">Brokerage firms (except as specified in </w:t>
            </w:r>
            <w:hyperlink r:id="rId6" w:anchor="п6" w:tgtFrame="_blank" w:history="1">
              <w:r>
                <w:rPr>
                  <w:rFonts w:ascii="Arial" w:hAnsi="Arial"/>
                  <w:sz w:val="24"/>
                  <w:szCs w:val="24"/>
                </w:rPr>
                <w:t>paragraph 6</w:t>
              </w:r>
            </w:hyperlink>
            <w:r>
              <w:rPr>
                <w:rFonts w:ascii="Arial" w:hAnsi="Arial"/>
                <w:sz w:val="24"/>
                <w:szCs w:val="24"/>
              </w:rPr>
              <w:t>), as well as taxpayers who provide intermediary services under commission, delegation agreement and other agreements on performance of intermediary services, including individual entrepreneurs who provide intermediary services to operators and/or telecommunication providers</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25</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6</w:t>
            </w:r>
          </w:p>
        </w:tc>
        <w:tc>
          <w:tcPr>
            <w:tcW w:w="6946" w:type="dxa"/>
          </w:tcPr>
          <w:p w:rsidR="00FC72AC" w:rsidRPr="001275F4" w:rsidRDefault="00FC72AC" w:rsidP="001275F4">
            <w:pPr>
              <w:pStyle w:val="rvps3"/>
              <w:spacing w:before="0" w:beforeAutospacing="0" w:after="0" w:afterAutospacing="0" w:line="276" w:lineRule="auto"/>
              <w:ind w:left="-47" w:firstLine="233"/>
              <w:jc w:val="both"/>
              <w:rPr>
                <w:rFonts w:ascii="Arial" w:hAnsi="Arial" w:cs="Arial"/>
              </w:rPr>
            </w:pPr>
            <w:r>
              <w:rPr>
                <w:rStyle w:val="rvts20"/>
                <w:rFonts w:ascii="Arial" w:hAnsi="Arial"/>
              </w:rPr>
              <w:t>Insurance agents, as well as legal entities performing brokerage activities in the insurance and securities markets and commodity exchanges</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13</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7</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Legal entities whose principal activity is to lease property (excluding leasing companies)</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8</w:t>
            </w:r>
          </w:p>
        </w:tc>
      </w:tr>
      <w:tr w:rsidR="00FC72AC" w:rsidRPr="001275F4" w:rsidTr="001275F4">
        <w:tc>
          <w:tcPr>
            <w:tcW w:w="851" w:type="dxa"/>
            <w:vMerge w:val="restart"/>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8</w:t>
            </w:r>
          </w:p>
        </w:tc>
        <w:tc>
          <w:tcPr>
            <w:tcW w:w="6946" w:type="dxa"/>
          </w:tcPr>
          <w:p w:rsidR="00FC72AC" w:rsidRPr="001275F4" w:rsidRDefault="00FC72AC" w:rsidP="001275F4">
            <w:pPr>
              <w:spacing w:line="276" w:lineRule="auto"/>
              <w:ind w:left="-47" w:firstLine="233"/>
              <w:jc w:val="both"/>
              <w:rPr>
                <w:rFonts w:ascii="Arial" w:hAnsi="Arial" w:cs="Arial"/>
                <w:sz w:val="24"/>
                <w:szCs w:val="24"/>
              </w:rPr>
            </w:pPr>
            <w:r>
              <w:rPr>
                <w:rFonts w:ascii="Arial" w:hAnsi="Arial"/>
                <w:sz w:val="24"/>
                <w:szCs w:val="24"/>
              </w:rPr>
              <w:t>Public catering companies</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depending on the location:</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In cities with populations of one hundred thousand or more.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8</w:t>
            </w: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In other settlements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6</w:t>
            </w: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In hard-to-reach and mountainous areas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4</w:t>
            </w: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Of which</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Specialized catering establishments serving general education schools, boarding schools, specialized secondary, vocational and higher educational institutions</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Cs w:val="24"/>
              </w:rPr>
              <w:t>75% of the set tax rate, depending on the location</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9</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Taxpayers in retail trade</w:t>
            </w:r>
            <w:r w:rsidR="00800AFA">
              <w:rPr>
                <w:rFonts w:ascii="Arial" w:hAnsi="Arial"/>
                <w:sz w:val="24"/>
                <w:szCs w:val="24"/>
              </w:rPr>
              <w:t xml:space="preserve"> sector</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p>
        </w:tc>
      </w:tr>
      <w:tr w:rsidR="00FC72AC" w:rsidRPr="001275F4" w:rsidTr="001275F4">
        <w:tc>
          <w:tcPr>
            <w:tcW w:w="851" w:type="dxa"/>
            <w:vMerge w:val="restart"/>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9.1.</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Depending on the location:</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In cities with populations of one hundred thousand or more.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4</w:t>
            </w: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In other settlements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2</w:t>
            </w: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In hard-to-reach and mountainous areas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1</w:t>
            </w:r>
          </w:p>
        </w:tc>
      </w:tr>
      <w:tr w:rsidR="00FC72AC" w:rsidRPr="001275F4" w:rsidTr="001275F4">
        <w:tc>
          <w:tcPr>
            <w:tcW w:w="851" w:type="dxa"/>
            <w:vMerge w:val="restart"/>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9.2.</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Regardless of the location: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800AFA" w:rsidP="001275F4">
            <w:pPr>
              <w:spacing w:line="276" w:lineRule="auto"/>
              <w:ind w:left="-47" w:firstLine="233"/>
              <w:jc w:val="both"/>
              <w:rPr>
                <w:rFonts w:ascii="Arial" w:eastAsia="Times New Roman" w:hAnsi="Arial" w:cs="Arial"/>
                <w:sz w:val="24"/>
                <w:szCs w:val="24"/>
              </w:rPr>
            </w:pPr>
            <w:r>
              <w:rPr>
                <w:rFonts w:ascii="Arial" w:hAnsi="Arial"/>
                <w:sz w:val="24"/>
                <w:szCs w:val="24"/>
              </w:rPr>
              <w:t>On</w:t>
            </w:r>
            <w:r w:rsidR="00FC72AC">
              <w:rPr>
                <w:rFonts w:ascii="Arial" w:hAnsi="Arial"/>
                <w:sz w:val="24"/>
                <w:szCs w:val="24"/>
              </w:rPr>
              <w:t xml:space="preserve"> turnover from sales of alcohol, tobacco products, petrol, diesel fuel, liquefied and compressed gas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4</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lastRenderedPageBreak/>
              <w:t>10</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Trade enterprises engaged in wholesale as well as wholesale and retail trade (except as specified in </w:t>
            </w:r>
            <w:hyperlink r:id="rId7" w:anchor="п11" w:tgtFrame="_blank" w:history="1">
              <w:r>
                <w:rPr>
                  <w:rFonts w:ascii="Arial" w:hAnsi="Arial"/>
                  <w:sz w:val="24"/>
                  <w:szCs w:val="24"/>
                </w:rPr>
                <w:t>paragraph 11</w:t>
              </w:r>
            </w:hyperlink>
            <w:r>
              <w:rPr>
                <w:rFonts w:ascii="Arial" w:hAnsi="Arial"/>
                <w:sz w:val="24"/>
                <w:szCs w:val="24"/>
              </w:rPr>
              <w:t xml:space="preserve">)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4</w:t>
            </w:r>
          </w:p>
        </w:tc>
      </w:tr>
      <w:tr w:rsidR="00FC72AC" w:rsidRPr="001275F4" w:rsidTr="001275F4">
        <w:tc>
          <w:tcPr>
            <w:tcW w:w="851" w:type="dxa"/>
            <w:vMerge w:val="restart"/>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11</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Wholesalers and retail pharmacies located in: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cities with populations of one hundred thousand or more.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3</w:t>
            </w: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Other settlements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2</w:t>
            </w:r>
          </w:p>
        </w:tc>
      </w:tr>
      <w:tr w:rsidR="00FC72AC" w:rsidRPr="001275F4" w:rsidTr="001275F4">
        <w:tc>
          <w:tcPr>
            <w:tcW w:w="851" w:type="dxa"/>
            <w:vMerge/>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Hard-to-reach and mountainous areas   </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1</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12.</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Harvesting organizations and individual entrepreneurs engaged in the procurement, sorting, storage, and packaging of agricultural products</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4% of turnover or 25% of gross income</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13.</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Taxpayers included in the National Register of E-Commerce Entities</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2</w:t>
            </w:r>
          </w:p>
        </w:tc>
      </w:tr>
      <w:tr w:rsidR="00FC72AC" w:rsidRPr="001275F4" w:rsidTr="001275F4">
        <w:tc>
          <w:tcPr>
            <w:tcW w:w="851" w:type="dxa"/>
            <w:vAlign w:val="center"/>
          </w:tcPr>
          <w:p w:rsidR="00FC72AC" w:rsidRPr="001275F4" w:rsidRDefault="00FC72AC" w:rsidP="001275F4">
            <w:pPr>
              <w:autoSpaceDE w:val="0"/>
              <w:autoSpaceDN w:val="0"/>
              <w:adjustRightInd w:val="0"/>
              <w:spacing w:line="276" w:lineRule="auto"/>
              <w:jc w:val="center"/>
              <w:rPr>
                <w:rFonts w:ascii="Arial" w:hAnsi="Arial" w:cs="Arial"/>
                <w:sz w:val="24"/>
                <w:szCs w:val="24"/>
              </w:rPr>
            </w:pPr>
            <w:r>
              <w:rPr>
                <w:rFonts w:ascii="Arial" w:hAnsi="Arial"/>
                <w:sz w:val="24"/>
                <w:szCs w:val="24"/>
              </w:rPr>
              <w:t>14.</w:t>
            </w:r>
          </w:p>
        </w:tc>
        <w:tc>
          <w:tcPr>
            <w:tcW w:w="6946" w:type="dxa"/>
          </w:tcPr>
          <w:p w:rsidR="00FC72AC" w:rsidRPr="001275F4" w:rsidRDefault="00FC72AC" w:rsidP="001275F4">
            <w:pPr>
              <w:spacing w:line="276" w:lineRule="auto"/>
              <w:ind w:left="-47" w:firstLine="233"/>
              <w:jc w:val="both"/>
              <w:rPr>
                <w:rFonts w:ascii="Arial" w:eastAsia="Times New Roman" w:hAnsi="Arial" w:cs="Arial"/>
                <w:sz w:val="24"/>
                <w:szCs w:val="24"/>
              </w:rPr>
            </w:pPr>
            <w:r>
              <w:rPr>
                <w:rFonts w:ascii="Arial" w:hAnsi="Arial"/>
                <w:sz w:val="24"/>
                <w:szCs w:val="24"/>
              </w:rPr>
              <w:t xml:space="preserve">Taxpayers, the only participants of which are public associations of persons with disabilities, the Nuroniy Foundation and the Association Chernobyl's of Uzbekistan, where the total number of persons with disabilities and veterans of the 1941-1945 war and labour front make </w:t>
            </w:r>
            <w:bookmarkStart w:id="0" w:name="_GoBack"/>
            <w:bookmarkEnd w:id="0"/>
            <w:r>
              <w:rPr>
                <w:rFonts w:ascii="Arial" w:hAnsi="Arial"/>
                <w:sz w:val="24"/>
                <w:szCs w:val="24"/>
              </w:rPr>
              <w:t>up at least 50 percent of the total payroll, and the payroll for persons with disabilities and veterans of the 1941-1945 war and labour front makes up at least 50 percent of the total payroll.</w:t>
            </w:r>
          </w:p>
        </w:tc>
        <w:tc>
          <w:tcPr>
            <w:tcW w:w="2409" w:type="dxa"/>
            <w:vAlign w:val="center"/>
          </w:tcPr>
          <w:p w:rsidR="00FC72AC" w:rsidRPr="001275F4" w:rsidRDefault="00FC72AC" w:rsidP="001275F4">
            <w:pPr>
              <w:spacing w:line="276" w:lineRule="auto"/>
              <w:jc w:val="center"/>
              <w:rPr>
                <w:rFonts w:ascii="Arial" w:eastAsia="Times New Roman" w:hAnsi="Arial" w:cs="Arial"/>
                <w:sz w:val="24"/>
                <w:szCs w:val="24"/>
              </w:rPr>
            </w:pPr>
            <w:r>
              <w:rPr>
                <w:rFonts w:ascii="Arial" w:hAnsi="Arial"/>
                <w:sz w:val="24"/>
                <w:szCs w:val="24"/>
              </w:rPr>
              <w:t>0</w:t>
            </w:r>
          </w:p>
        </w:tc>
      </w:tr>
    </w:tbl>
    <w:p w:rsidR="00D85717" w:rsidRPr="001275F4" w:rsidRDefault="00D85717" w:rsidP="001275F4">
      <w:pPr>
        <w:spacing w:after="0" w:line="276" w:lineRule="auto"/>
        <w:rPr>
          <w:rFonts w:ascii="Arial" w:hAnsi="Arial" w:cs="Arial"/>
          <w:sz w:val="24"/>
          <w:szCs w:val="24"/>
        </w:rPr>
      </w:pPr>
    </w:p>
    <w:sectPr w:rsidR="00D85717" w:rsidRPr="001275F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B0" w:rsidRDefault="00D479B0" w:rsidP="00A0058B">
      <w:pPr>
        <w:spacing w:after="0" w:line="240" w:lineRule="auto"/>
      </w:pPr>
      <w:r>
        <w:separator/>
      </w:r>
    </w:p>
  </w:endnote>
  <w:endnote w:type="continuationSeparator" w:id="0">
    <w:p w:rsidR="00D479B0" w:rsidRDefault="00D479B0" w:rsidP="00A0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8B" w:rsidRDefault="00A0058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8B" w:rsidRDefault="00A0058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8B" w:rsidRDefault="00A005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B0" w:rsidRDefault="00D479B0" w:rsidP="00A0058B">
      <w:pPr>
        <w:spacing w:after="0" w:line="240" w:lineRule="auto"/>
      </w:pPr>
      <w:r>
        <w:separator/>
      </w:r>
    </w:p>
  </w:footnote>
  <w:footnote w:type="continuationSeparator" w:id="0">
    <w:p w:rsidR="00D479B0" w:rsidRDefault="00D479B0" w:rsidP="00A00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8B" w:rsidRDefault="00A0058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8B" w:rsidRDefault="00A0058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8B" w:rsidRDefault="00A0058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1A"/>
    <w:rsid w:val="0012308E"/>
    <w:rsid w:val="001275F4"/>
    <w:rsid w:val="0026785A"/>
    <w:rsid w:val="00283D79"/>
    <w:rsid w:val="00332BC3"/>
    <w:rsid w:val="005F4F0B"/>
    <w:rsid w:val="00707FE8"/>
    <w:rsid w:val="00731CEC"/>
    <w:rsid w:val="00800AFA"/>
    <w:rsid w:val="00A0058B"/>
    <w:rsid w:val="00AD0292"/>
    <w:rsid w:val="00BC04B6"/>
    <w:rsid w:val="00CC1F38"/>
    <w:rsid w:val="00CD18F5"/>
    <w:rsid w:val="00D16C1A"/>
    <w:rsid w:val="00D479B0"/>
    <w:rsid w:val="00D85717"/>
    <w:rsid w:val="00ED1A0D"/>
    <w:rsid w:val="00FC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7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79"/>
  </w:style>
  <w:style w:type="paragraph" w:styleId="2">
    <w:name w:val="heading 2"/>
    <w:basedOn w:val="a"/>
    <w:next w:val="a"/>
    <w:link w:val="20"/>
    <w:uiPriority w:val="9"/>
    <w:unhideWhenUsed/>
    <w:qFormat/>
    <w:rsid w:val="00283D79"/>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3D79"/>
    <w:rPr>
      <w:rFonts w:asciiTheme="majorHAnsi" w:eastAsiaTheme="majorEastAsia" w:hAnsiTheme="majorHAnsi" w:cstheme="majorBidi"/>
      <w:b/>
      <w:bCs/>
      <w:sz w:val="26"/>
      <w:szCs w:val="26"/>
      <w:lang w:eastAsia="ru-RU"/>
    </w:rPr>
  </w:style>
  <w:style w:type="table" w:styleId="a3">
    <w:name w:val="Table Grid"/>
    <w:basedOn w:val="a1"/>
    <w:uiPriority w:val="59"/>
    <w:rsid w:val="00283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83D79"/>
    <w:pPr>
      <w:ind w:left="720"/>
      <w:contextualSpacing/>
    </w:pPr>
  </w:style>
  <w:style w:type="character" w:customStyle="1" w:styleId="a5">
    <w:name w:val="Абзац списка Знак"/>
    <w:link w:val="a4"/>
    <w:uiPriority w:val="34"/>
    <w:locked/>
    <w:rsid w:val="00283D79"/>
  </w:style>
  <w:style w:type="character" w:customStyle="1" w:styleId="rvts20">
    <w:name w:val="rvts20"/>
    <w:basedOn w:val="a0"/>
    <w:rsid w:val="00283D79"/>
  </w:style>
  <w:style w:type="paragraph" w:customStyle="1" w:styleId="rvps3">
    <w:name w:val="rvps3"/>
    <w:basedOn w:val="a"/>
    <w:rsid w:val="00283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2">
    <w:name w:val="rvts22"/>
    <w:basedOn w:val="a0"/>
    <w:rsid w:val="00283D79"/>
  </w:style>
  <w:style w:type="paragraph" w:styleId="a6">
    <w:name w:val="Balloon Text"/>
    <w:basedOn w:val="a"/>
    <w:link w:val="a7"/>
    <w:uiPriority w:val="99"/>
    <w:semiHidden/>
    <w:unhideWhenUsed/>
    <w:rsid w:val="001275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75F4"/>
    <w:rPr>
      <w:rFonts w:ascii="Tahoma" w:hAnsi="Tahoma" w:cs="Tahoma"/>
      <w:sz w:val="16"/>
      <w:szCs w:val="16"/>
    </w:rPr>
  </w:style>
  <w:style w:type="paragraph" w:styleId="a8">
    <w:name w:val="header"/>
    <w:basedOn w:val="a"/>
    <w:link w:val="a9"/>
    <w:uiPriority w:val="99"/>
    <w:unhideWhenUsed/>
    <w:rsid w:val="00A005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058B"/>
  </w:style>
  <w:style w:type="paragraph" w:styleId="aa">
    <w:name w:val="footer"/>
    <w:basedOn w:val="a"/>
    <w:link w:val="ab"/>
    <w:uiPriority w:val="99"/>
    <w:unhideWhenUsed/>
    <w:rsid w:val="00A005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rm.uz/contentf?doc=572486_stavki_edinogo_nalogovogo_plateja_(prilojenie_n_7_k_postanovleniyu_prezidenta_ruz_ot_26_12_2018_g_n_pp-4086)&amp;products=1_vse_zakonodatelstvo_uzbekistan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m.uz/contentf?doc=572486_stavki_edinogo_nalogovogo_plateja_(prilojenie_n_7_k_postanovleniyu_prezidenta_ruz_ot_26_12_2018_g_n_pp-4086)&amp;products=1_vse_zakonodatelstvo_uzbekistan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4726</Characters>
  <Application>Microsoft Office Word</Application>
  <DocSecurity>0</DocSecurity>
  <Lines>173</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2020-01-22T18:25:00Z</dcterms:created>
  <dcterms:modified xsi:type="dcterms:W3CDTF">2020-01-23T04:12:00Z</dcterms:modified>
</cp:coreProperties>
</file>