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79" w:rsidRPr="001275F4" w:rsidRDefault="00283D79" w:rsidP="001275F4">
      <w:pPr>
        <w:pStyle w:val="2"/>
        <w:spacing w:befor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275F4">
        <w:rPr>
          <w:rFonts w:ascii="Arial" w:hAnsi="Arial" w:cs="Arial"/>
          <w:bCs w:val="0"/>
          <w:sz w:val="24"/>
          <w:szCs w:val="24"/>
        </w:rPr>
        <w:t>НАЛОГ С ОБОРОТА</w:t>
      </w:r>
      <w:r w:rsidR="00FC72AC" w:rsidRPr="001275F4">
        <w:rPr>
          <w:rFonts w:ascii="Arial" w:hAnsi="Arial" w:cs="Arial"/>
          <w:bCs w:val="0"/>
          <w:sz w:val="24"/>
          <w:szCs w:val="24"/>
        </w:rPr>
        <w:t xml:space="preserve"> </w:t>
      </w:r>
      <w:r w:rsidR="00FC72AC" w:rsidRPr="001275F4">
        <w:rPr>
          <w:rFonts w:ascii="Arial" w:hAnsi="Arial" w:cs="Arial"/>
          <w:b w:val="0"/>
          <w:bCs w:val="0"/>
          <w:sz w:val="24"/>
          <w:szCs w:val="24"/>
        </w:rPr>
        <w:t>(глава 66 НК РУЗ)</w:t>
      </w:r>
    </w:p>
    <w:p w:rsidR="00283D79" w:rsidRPr="001275F4" w:rsidRDefault="00283D79" w:rsidP="001275F4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75F4">
        <w:rPr>
          <w:rFonts w:ascii="Arial" w:hAnsi="Arial" w:cs="Arial"/>
          <w:spacing w:val="-4"/>
          <w:sz w:val="24"/>
          <w:szCs w:val="24"/>
        </w:rPr>
        <w:t>Плательщиками налога c оборота являются</w:t>
      </w:r>
      <w:r w:rsidRPr="001275F4">
        <w:rPr>
          <w:rFonts w:ascii="Arial" w:hAnsi="Arial" w:cs="Arial"/>
          <w:sz w:val="24"/>
          <w:szCs w:val="24"/>
        </w:rPr>
        <w:t>:</w:t>
      </w:r>
    </w:p>
    <w:p w:rsidR="00283D79" w:rsidRPr="001275F4" w:rsidRDefault="00283D79" w:rsidP="001275F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1)</w:t>
      </w:r>
      <w:r w:rsidRPr="001275F4">
        <w:rPr>
          <w:rFonts w:ascii="Arial" w:hAnsi="Arial" w:cs="Arial"/>
          <w:sz w:val="24"/>
          <w:szCs w:val="24"/>
        </w:rPr>
        <w:tab/>
        <w:t xml:space="preserve">юридические лица Республики Узбекистан, доход которых от реализации товаров (услуг) за налоговый период не превышает один миллиард </w:t>
      </w:r>
      <w:proofErr w:type="spellStart"/>
      <w:r w:rsidRPr="001275F4">
        <w:rPr>
          <w:rFonts w:ascii="Arial" w:hAnsi="Arial" w:cs="Arial"/>
          <w:sz w:val="24"/>
          <w:szCs w:val="24"/>
        </w:rPr>
        <w:t>сумов</w:t>
      </w:r>
      <w:proofErr w:type="spellEnd"/>
      <w:r w:rsidRPr="001275F4">
        <w:rPr>
          <w:rFonts w:ascii="Arial" w:hAnsi="Arial" w:cs="Arial"/>
          <w:sz w:val="24"/>
          <w:szCs w:val="24"/>
        </w:rPr>
        <w:t>;</w:t>
      </w:r>
    </w:p>
    <w:p w:rsidR="00283D79" w:rsidRPr="001275F4" w:rsidRDefault="00283D79" w:rsidP="001275F4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 xml:space="preserve">2) </w:t>
      </w:r>
      <w:r w:rsidRPr="001275F4">
        <w:rPr>
          <w:rFonts w:ascii="Arial" w:hAnsi="Arial" w:cs="Arial"/>
          <w:sz w:val="24"/>
          <w:szCs w:val="24"/>
        </w:rPr>
        <w:tab/>
        <w:t xml:space="preserve">индивидуальные предприниматели, доход которых от реализации товаров (услуг) за налоговый период превышает сто миллионов </w:t>
      </w:r>
      <w:proofErr w:type="spellStart"/>
      <w:r w:rsidRPr="001275F4">
        <w:rPr>
          <w:rFonts w:ascii="Arial" w:hAnsi="Arial" w:cs="Arial"/>
          <w:sz w:val="24"/>
          <w:szCs w:val="24"/>
        </w:rPr>
        <w:t>сумов</w:t>
      </w:r>
      <w:proofErr w:type="spellEnd"/>
      <w:r w:rsidRPr="001275F4">
        <w:rPr>
          <w:rFonts w:ascii="Arial" w:hAnsi="Arial" w:cs="Arial"/>
          <w:sz w:val="24"/>
          <w:szCs w:val="24"/>
        </w:rPr>
        <w:t xml:space="preserve">, но не более одного миллиарда </w:t>
      </w:r>
      <w:proofErr w:type="spellStart"/>
      <w:r w:rsidRPr="001275F4">
        <w:rPr>
          <w:rFonts w:ascii="Arial" w:hAnsi="Arial" w:cs="Arial"/>
          <w:sz w:val="24"/>
          <w:szCs w:val="24"/>
        </w:rPr>
        <w:t>сумов</w:t>
      </w:r>
      <w:proofErr w:type="spellEnd"/>
      <w:r w:rsidRPr="001275F4">
        <w:rPr>
          <w:rFonts w:ascii="Arial" w:hAnsi="Arial" w:cs="Arial"/>
          <w:sz w:val="24"/>
          <w:szCs w:val="24"/>
        </w:rPr>
        <w:t>.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83D79" w:rsidRPr="001275F4" w:rsidRDefault="00283D79" w:rsidP="001275F4">
      <w:pPr>
        <w:pStyle w:val="2"/>
        <w:spacing w:before="0"/>
        <w:ind w:firstLine="720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Объект налогообложения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Объектом налогообложения</w:t>
      </w:r>
      <w:r w:rsidR="00CC1F38" w:rsidRPr="001275F4">
        <w:rPr>
          <w:rFonts w:ascii="Arial" w:hAnsi="Arial" w:cs="Arial"/>
          <w:sz w:val="24"/>
          <w:szCs w:val="24"/>
        </w:rPr>
        <w:t xml:space="preserve"> и налоговой базой</w:t>
      </w:r>
      <w:r w:rsidRPr="001275F4">
        <w:rPr>
          <w:rFonts w:ascii="Arial" w:hAnsi="Arial" w:cs="Arial"/>
          <w:sz w:val="24"/>
          <w:szCs w:val="24"/>
        </w:rPr>
        <w:t xml:space="preserve"> является совокупный доход.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Налоговой базой является совокупный доход за вычетом: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eastAsiaTheme="minorEastAsia" w:hAnsi="Arial" w:cs="Arial"/>
          <w:spacing w:val="-4"/>
          <w:sz w:val="24"/>
          <w:szCs w:val="24"/>
          <w:shd w:val="clear" w:color="auto" w:fill="FFFFFF"/>
        </w:rPr>
        <w:t>1) доходов по государственным облигациям и иным государственным</w:t>
      </w:r>
      <w:r w:rsidRPr="001275F4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 ценным бумагам Республики Узбекистан, а также доходы по международным облигациям юридических лиц – резидентов Республики Узбекистан.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2) дивидендов, подлежащих налогообложению у налогового агента;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3) стоимости возвращаемой многооборотной тары, если ее стоимость ранее учтена в составе дохода от реализации товаров (услуг);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 xml:space="preserve">4) доходов, полученных при ликвидации амортизируемых активов за счет суммы их </w:t>
      </w:r>
      <w:proofErr w:type="spellStart"/>
      <w:r w:rsidRPr="001275F4">
        <w:rPr>
          <w:rFonts w:ascii="Arial" w:hAnsi="Arial" w:cs="Arial"/>
          <w:sz w:val="24"/>
          <w:szCs w:val="24"/>
        </w:rPr>
        <w:t>дооценки</w:t>
      </w:r>
      <w:proofErr w:type="spellEnd"/>
      <w:r w:rsidRPr="001275F4">
        <w:rPr>
          <w:rFonts w:ascii="Arial" w:hAnsi="Arial" w:cs="Arial"/>
          <w:sz w:val="24"/>
          <w:szCs w:val="24"/>
        </w:rPr>
        <w:t>, превышающей сумму предыдущих уценок;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 xml:space="preserve">5) доходов прошлых лет, выявленных в отчетном году. Данные доходы подлежат налогообложению с учетом проведения перерасчета по налогам в соответствии с законодательством того периода, в котором они образованы; 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6) доходов, полученных от реализации товаров (услуг) на экспорт, если доходы от экспорта товаров (услуг) составляют более 15 процентов совокупного дохода.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 xml:space="preserve">Налоговая база, кроме вычетов, предусмотренных частью первой настоящей статьи, уменьшается </w:t>
      </w:r>
      <w:proofErr w:type="gramStart"/>
      <w:r w:rsidRPr="001275F4">
        <w:rPr>
          <w:rFonts w:ascii="Arial" w:hAnsi="Arial" w:cs="Arial"/>
          <w:sz w:val="24"/>
          <w:szCs w:val="24"/>
        </w:rPr>
        <w:t>для</w:t>
      </w:r>
      <w:proofErr w:type="gramEnd"/>
      <w:r w:rsidRPr="001275F4">
        <w:rPr>
          <w:rFonts w:ascii="Arial" w:hAnsi="Arial" w:cs="Arial"/>
          <w:sz w:val="24"/>
          <w:szCs w:val="24"/>
        </w:rPr>
        <w:t>: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1) брокерских организаций – на сумму комиссионного сбора, перечисляемого бирже от суммы сделки;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2) юридических лиц, оказывающих посреднические услуги по договору комиссии, поручения, – на сумму таможенных платежей, уплаченных при импорте товаров, в доле на реализованный товар;</w:t>
      </w:r>
    </w:p>
    <w:p w:rsidR="00283D79" w:rsidRPr="001275F4" w:rsidRDefault="00283D79" w:rsidP="001275F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3) субъектов туристской деятельности – на сумму средств, направленных на внедрение программных продуктов и информационных систем по онлайн-бронированию и продаже туристских услуг.</w:t>
      </w:r>
    </w:p>
    <w:p w:rsidR="00283D79" w:rsidRPr="001275F4" w:rsidRDefault="00283D79" w:rsidP="001275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83D79" w:rsidRPr="001275F4" w:rsidRDefault="00283D79" w:rsidP="001275F4">
      <w:pPr>
        <w:pStyle w:val="2"/>
        <w:spacing w:before="0"/>
        <w:ind w:firstLine="709"/>
        <w:rPr>
          <w:rFonts w:ascii="Arial" w:hAnsi="Arial" w:cs="Arial"/>
          <w:bCs w:val="0"/>
          <w:sz w:val="24"/>
          <w:szCs w:val="24"/>
        </w:rPr>
      </w:pPr>
      <w:r w:rsidRPr="001275F4">
        <w:rPr>
          <w:rFonts w:ascii="Arial" w:hAnsi="Arial" w:cs="Arial"/>
          <w:bCs w:val="0"/>
          <w:sz w:val="24"/>
          <w:szCs w:val="24"/>
        </w:rPr>
        <w:t>Налоговые ставки</w:t>
      </w:r>
    </w:p>
    <w:p w:rsidR="00CC1F38" w:rsidRPr="001275F4" w:rsidRDefault="00CC1F38" w:rsidP="001275F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Базовая ставка налога с оборота установлена</w:t>
      </w:r>
      <w:r w:rsidR="00283D79" w:rsidRPr="001275F4">
        <w:rPr>
          <w:rFonts w:ascii="Arial" w:hAnsi="Arial" w:cs="Arial"/>
          <w:sz w:val="24"/>
          <w:szCs w:val="24"/>
        </w:rPr>
        <w:t xml:space="preserve"> в </w:t>
      </w:r>
      <w:r w:rsidRPr="001275F4">
        <w:rPr>
          <w:rFonts w:ascii="Arial" w:hAnsi="Arial" w:cs="Arial"/>
          <w:sz w:val="24"/>
          <w:szCs w:val="24"/>
        </w:rPr>
        <w:t xml:space="preserve">размере четырех процентов от налоговой базы. </w:t>
      </w:r>
    </w:p>
    <w:p w:rsidR="00283D79" w:rsidRPr="001275F4" w:rsidRDefault="00CC1F38" w:rsidP="001275F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В некоторых случаях, предусматривается применение ставок от нуля до двадцати пяти процентов от налогооблагаемой базы.</w:t>
      </w:r>
    </w:p>
    <w:p w:rsidR="00283D79" w:rsidRPr="001275F4" w:rsidRDefault="00283D79" w:rsidP="001275F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b/>
          <w:sz w:val="24"/>
          <w:szCs w:val="24"/>
        </w:rPr>
        <w:t>Налоговым периодом</w:t>
      </w:r>
      <w:r w:rsidRPr="001275F4">
        <w:rPr>
          <w:rFonts w:ascii="Arial" w:hAnsi="Arial" w:cs="Arial"/>
          <w:sz w:val="24"/>
          <w:szCs w:val="24"/>
        </w:rPr>
        <w:t xml:space="preserve"> является календарный год. </w:t>
      </w:r>
    </w:p>
    <w:p w:rsidR="00283D79" w:rsidRPr="001275F4" w:rsidRDefault="00283D79" w:rsidP="001275F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b/>
          <w:sz w:val="24"/>
          <w:szCs w:val="24"/>
        </w:rPr>
        <w:t>Отчетным периодом</w:t>
      </w:r>
      <w:r w:rsidRPr="001275F4">
        <w:rPr>
          <w:rFonts w:ascii="Arial" w:hAnsi="Arial" w:cs="Arial"/>
          <w:sz w:val="24"/>
          <w:szCs w:val="24"/>
        </w:rPr>
        <w:t xml:space="preserve"> является квартал.</w:t>
      </w:r>
    </w:p>
    <w:p w:rsidR="00283D79" w:rsidRPr="001275F4" w:rsidRDefault="00283D79" w:rsidP="001275F4">
      <w:pPr>
        <w:spacing w:after="0"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83D79" w:rsidRPr="001275F4" w:rsidRDefault="00283D79" w:rsidP="001275F4">
      <w:pPr>
        <w:pStyle w:val="2"/>
        <w:spacing w:before="0"/>
        <w:ind w:firstLine="709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lastRenderedPageBreak/>
        <w:t>Порядок представления налоговой отчетности и уплаты налога</w:t>
      </w:r>
      <w:r w:rsidR="00CC1F38" w:rsidRPr="001275F4">
        <w:rPr>
          <w:rFonts w:ascii="Arial" w:hAnsi="Arial" w:cs="Arial"/>
          <w:sz w:val="24"/>
          <w:szCs w:val="24"/>
        </w:rPr>
        <w:t xml:space="preserve"> с оборота</w:t>
      </w:r>
    </w:p>
    <w:p w:rsidR="00283D79" w:rsidRPr="001275F4" w:rsidRDefault="00283D79" w:rsidP="001275F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 xml:space="preserve">Налоговая отчетность представляется в налоговый орган по месту налогового учета, в следующие сроки: </w:t>
      </w:r>
    </w:p>
    <w:p w:rsidR="00283D79" w:rsidRPr="001275F4" w:rsidRDefault="00283D79" w:rsidP="001275F4">
      <w:pPr>
        <w:tabs>
          <w:tab w:val="left" w:pos="993"/>
        </w:tabs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1)</w:t>
      </w:r>
      <w:r w:rsidRPr="001275F4">
        <w:rPr>
          <w:rFonts w:ascii="Arial" w:hAnsi="Arial" w:cs="Arial"/>
          <w:sz w:val="24"/>
          <w:szCs w:val="24"/>
        </w:rPr>
        <w:tab/>
        <w:t>по итогам отчетного периода – не позднее пятнадцатого числа месяца, следующего за отчетным периодом;</w:t>
      </w:r>
    </w:p>
    <w:p w:rsidR="00283D79" w:rsidRPr="001275F4" w:rsidRDefault="00283D79" w:rsidP="001275F4">
      <w:pPr>
        <w:tabs>
          <w:tab w:val="left" w:pos="993"/>
        </w:tabs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2)</w:t>
      </w:r>
      <w:r w:rsidRPr="001275F4">
        <w:rPr>
          <w:rFonts w:ascii="Arial" w:hAnsi="Arial" w:cs="Arial"/>
          <w:sz w:val="24"/>
          <w:szCs w:val="24"/>
        </w:rPr>
        <w:tab/>
        <w:t xml:space="preserve">по итогам налогового периода – не позднее 15 февраля, следующего за истекшим налоговым периодом. </w:t>
      </w:r>
    </w:p>
    <w:p w:rsidR="00283D79" w:rsidRPr="001275F4" w:rsidRDefault="00283D79" w:rsidP="001275F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Уплата налога производится по итогам отчетного (налогового) периода не позднее сроков представления налоговой отчетности за соответствующий отчетный (налоговый) период.</w:t>
      </w:r>
    </w:p>
    <w:p w:rsidR="00FC72AC" w:rsidRPr="001275F4" w:rsidRDefault="00FC72AC" w:rsidP="001275F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72AC" w:rsidRPr="001275F4" w:rsidRDefault="00FC72AC" w:rsidP="001275F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F4">
        <w:rPr>
          <w:rFonts w:ascii="Arial" w:hAnsi="Arial" w:cs="Arial"/>
          <w:sz w:val="24"/>
          <w:szCs w:val="24"/>
        </w:rPr>
        <w:t>Налоговые ставки устанавливаются в следующих размерах</w:t>
      </w:r>
      <w:r w:rsidRPr="001275F4">
        <w:rPr>
          <w:rFonts w:ascii="Arial" w:hAnsi="Arial" w:cs="Arial"/>
          <w:sz w:val="24"/>
          <w:szCs w:val="24"/>
        </w:rPr>
        <w:br/>
        <w:t xml:space="preserve"> (Статья 467):</w:t>
      </w:r>
    </w:p>
    <w:p w:rsidR="00FC72AC" w:rsidRPr="001275F4" w:rsidRDefault="00FC72AC" w:rsidP="001275F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2409"/>
      </w:tblGrid>
      <w:tr w:rsidR="00FC72AC" w:rsidRPr="001275F4" w:rsidTr="001275F4">
        <w:trPr>
          <w:tblHeader/>
        </w:trPr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5F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b/>
                <w:sz w:val="24"/>
                <w:szCs w:val="24"/>
              </w:rPr>
              <w:t>Налогоплательщики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b/>
                <w:sz w:val="24"/>
                <w:szCs w:val="24"/>
              </w:rPr>
              <w:t xml:space="preserve">Налоговые ставки, </w:t>
            </w:r>
            <w:r w:rsidRPr="001275F4">
              <w:rPr>
                <w:rFonts w:ascii="Arial" w:hAnsi="Arial" w:cs="Arial"/>
                <w:b/>
                <w:sz w:val="24"/>
                <w:szCs w:val="24"/>
              </w:rPr>
              <w:br/>
              <w:t>в</w:t>
            </w:r>
            <w:r w:rsidRPr="001275F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1275F4">
              <w:rPr>
                <w:rFonts w:ascii="Arial" w:hAnsi="Arial" w:cs="Arial"/>
                <w:b/>
                <w:sz w:val="24"/>
                <w:szCs w:val="24"/>
              </w:rPr>
              <w:t>процентах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ind w:left="-47" w:firstLine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Налогоплательщики всех отраслей экономики, за исключением предусмотренных в пунктах 2–14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оказывающие услуги по таможенному оформлению (таможенные брокеры)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ind w:left="-47" w:firstLine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Ломбарды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pStyle w:val="rvps3"/>
              <w:spacing w:before="0" w:beforeAutospacing="0" w:after="0" w:afterAutospacing="0" w:line="276" w:lineRule="auto"/>
              <w:ind w:left="-47" w:firstLine="233"/>
              <w:jc w:val="both"/>
              <w:rPr>
                <w:rFonts w:ascii="Arial" w:hAnsi="Arial" w:cs="Arial"/>
              </w:rPr>
            </w:pPr>
            <w:r w:rsidRPr="001275F4">
              <w:rPr>
                <w:rStyle w:val="rvts20"/>
                <w:rFonts w:ascii="Arial" w:eastAsiaTheme="majorEastAsia" w:hAnsi="Arial" w:cs="Arial"/>
              </w:rPr>
              <w:t>Юридические липа, получающие доходы от организации массовых зрелищных мероприятий путем привлечения юридических и физических лиц (включая нерезидентов), имеющих лицензию на занятие концертно-зрелищной деятельностью</w:t>
            </w:r>
            <w:r w:rsidRPr="001275F4">
              <w:rPr>
                <w:rStyle w:val="rvts22"/>
                <w:rFonts w:ascii="Arial" w:eastAsia="Calibri" w:hAnsi="Arial" w:cs="Arial"/>
              </w:rPr>
              <w:t xml:space="preserve">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Брокерские конторы (за исключением указанных в </w:t>
            </w:r>
            <w:hyperlink r:id="rId5" w:anchor="п6" w:tgtFrame="_blank" w:history="1">
              <w:r w:rsidRPr="001275F4">
                <w:rPr>
                  <w:rFonts w:ascii="Arial" w:eastAsia="Times New Roman" w:hAnsi="Arial" w:cs="Arial"/>
                  <w:sz w:val="24"/>
                  <w:szCs w:val="24"/>
                </w:rPr>
                <w:t>пункте 6</w:t>
              </w:r>
            </w:hyperlink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), а также налогоплательщики, оказывающие посреднические услуги по договору комиссии, поручения и другим договорам по оказанию посреднических услуг, в том числе </w:t>
            </w:r>
            <w:r w:rsidRPr="001275F4">
              <w:rPr>
                <w:rFonts w:ascii="Arial" w:hAnsi="Arial" w:cs="Arial"/>
                <w:sz w:val="24"/>
                <w:szCs w:val="24"/>
              </w:rPr>
              <w:t>индивидуальные предприниматели, оказывающие посреднические услуги операторам и (или) провайдерам телекоммуникаций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pStyle w:val="rvps3"/>
              <w:spacing w:before="0" w:beforeAutospacing="0" w:after="0" w:afterAutospacing="0" w:line="276" w:lineRule="auto"/>
              <w:ind w:left="-47" w:firstLine="233"/>
              <w:jc w:val="both"/>
              <w:rPr>
                <w:rFonts w:ascii="Arial" w:hAnsi="Arial" w:cs="Arial"/>
              </w:rPr>
            </w:pPr>
            <w:r w:rsidRPr="001275F4">
              <w:rPr>
                <w:rStyle w:val="rvts20"/>
                <w:rFonts w:ascii="Arial" w:eastAsiaTheme="majorEastAsia" w:hAnsi="Arial" w:cs="Arial"/>
              </w:rPr>
              <w:t>Страховые агенты, а также юридические лица, осуществляющие брокерскую деятельность на рынке страхования, ценных бумаг и товарно-сырьевых биржах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Юридические лица, основной деятельностью которых является предоставление в аренду имущества (за исключением лизинговых компаний)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FC72AC" w:rsidRPr="001275F4" w:rsidTr="001275F4">
        <w:tc>
          <w:tcPr>
            <w:tcW w:w="851" w:type="dxa"/>
            <w:vMerge w:val="restart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в зависимости от места расположения: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в городах с численностью населения сто тысяч и более человек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в других населенных пунктах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в труднодоступных и горных районах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из них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специализированные предприятия общественного питания, обслуживающие общеобразовательные школы, школы-интернаты, средние специальные, профессиональные и высшие учебные заведения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75 % от установленной налоговой ставки в зависимости от </w:t>
            </w:r>
            <w:r w:rsidRPr="001275F4">
              <w:rPr>
                <w:rFonts w:ascii="Arial" w:eastAsia="Times New Roman" w:hAnsi="Arial" w:cs="Arial"/>
                <w:szCs w:val="24"/>
              </w:rPr>
              <w:t>места расположения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Налогоплательщики в сфере розничной торговли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72AC" w:rsidRPr="001275F4" w:rsidTr="001275F4">
        <w:tc>
          <w:tcPr>
            <w:tcW w:w="851" w:type="dxa"/>
            <w:vMerge w:val="restart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в зависимости от места расположения: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в городах с численностью населения сто тысяч и более человек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в других населенных пунктах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в труднодоступных и горных районах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FC72AC" w:rsidRPr="001275F4" w:rsidTr="001275F4">
        <w:tc>
          <w:tcPr>
            <w:tcW w:w="851" w:type="dxa"/>
            <w:vMerge w:val="restart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независимо от места расположения: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по товарообороту от реализации алкогольной продукции, табачной продукции, бензина, дизельного топлива, сжиженного и сжатого газа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Предприятия торговли, осуществляющие оптовую, а также оптово-розничную торговлю (за исключением </w:t>
            </w:r>
            <w:proofErr w:type="gramStart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>указанных</w:t>
            </w:r>
            <w:proofErr w:type="gramEnd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 в </w:t>
            </w:r>
            <w:hyperlink r:id="rId6" w:anchor="п11" w:tgtFrame="_blank" w:history="1">
              <w:r w:rsidRPr="001275F4">
                <w:rPr>
                  <w:rFonts w:ascii="Arial" w:eastAsia="Times New Roman" w:hAnsi="Arial" w:cs="Arial"/>
                  <w:sz w:val="24"/>
                  <w:szCs w:val="24"/>
                </w:rPr>
                <w:t>пункте 11</w:t>
              </w:r>
            </w:hyperlink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)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C72AC" w:rsidRPr="001275F4" w:rsidTr="001275F4">
        <w:tc>
          <w:tcPr>
            <w:tcW w:w="851" w:type="dxa"/>
            <w:vMerge w:val="restart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Оптовые и розничные аптечные организации, расположенные </w:t>
            </w:r>
            <w:proofErr w:type="gramStart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городах</w:t>
            </w:r>
            <w:proofErr w:type="gramEnd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 с численностью населения сто тысяч и более человек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других населенных пунктах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C72AC" w:rsidRPr="001275F4" w:rsidTr="001275F4">
        <w:tc>
          <w:tcPr>
            <w:tcW w:w="851" w:type="dxa"/>
            <w:vMerge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труднодоступных и горных </w:t>
            </w:r>
            <w:proofErr w:type="gramStart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>районах</w:t>
            </w:r>
            <w:proofErr w:type="gramEnd"/>
            <w:r w:rsidRPr="001275F4">
              <w:rPr>
                <w:rFonts w:ascii="Arial" w:eastAsia="Times New Roman" w:hAnsi="Arial" w:cs="Arial"/>
                <w:sz w:val="24"/>
                <w:szCs w:val="24"/>
              </w:rPr>
              <w:t xml:space="preserve">   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Заготовительные организации и индивидуальные предприниматели, осуществляющие закуп, сортировку, хранение и фасовку сельскохозяйственной продукции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4 % от товарооборота или 25 % от валового дохода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Налогоплательщики, включенные в Национальный реестр субъектов электронной коммерции</w:t>
            </w:r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C72AC" w:rsidRPr="001275F4" w:rsidTr="001275F4">
        <w:tc>
          <w:tcPr>
            <w:tcW w:w="851" w:type="dxa"/>
            <w:vAlign w:val="center"/>
          </w:tcPr>
          <w:p w:rsidR="00FC72AC" w:rsidRPr="001275F4" w:rsidRDefault="00FC72AC" w:rsidP="00127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F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FC72AC" w:rsidRPr="001275F4" w:rsidRDefault="00FC72AC" w:rsidP="001275F4">
            <w:pPr>
              <w:spacing w:line="276" w:lineRule="auto"/>
              <w:ind w:left="-47" w:firstLine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275F4">
              <w:rPr>
                <w:rFonts w:ascii="Arial" w:hAnsi="Arial" w:cs="Arial"/>
                <w:sz w:val="24"/>
                <w:szCs w:val="24"/>
              </w:rPr>
              <w:t xml:space="preserve">Налогоплательщики, единственными участниками которых являются общественные объединения лиц с инвалидностью, </w:t>
            </w:r>
            <w:r w:rsidRPr="001275F4">
              <w:rPr>
                <w:rFonts w:ascii="Arial" w:hAnsi="Arial" w:cs="Arial"/>
                <w:noProof/>
                <w:sz w:val="24"/>
                <w:szCs w:val="24"/>
              </w:rPr>
              <w:t xml:space="preserve">фонд «Нуроний» и ассоциация «Чернобыльцы Узбекистана» </w:t>
            </w:r>
            <w:r w:rsidRPr="001275F4">
              <w:rPr>
                <w:rFonts w:ascii="Arial" w:hAnsi="Arial" w:cs="Arial"/>
                <w:sz w:val="24"/>
                <w:szCs w:val="24"/>
              </w:rPr>
              <w:t xml:space="preserve">и в общей численности которых инвалиды, </w:t>
            </w:r>
            <w:r w:rsidRPr="001275F4">
              <w:rPr>
                <w:rFonts w:ascii="Arial" w:hAnsi="Arial" w:cs="Arial"/>
                <w:noProof/>
                <w:sz w:val="24"/>
                <w:szCs w:val="24"/>
              </w:rPr>
              <w:t xml:space="preserve">ветераны войны и трудового фронта 1941-1945 годов, </w:t>
            </w:r>
            <w:r w:rsidRPr="001275F4">
              <w:rPr>
                <w:rFonts w:ascii="Arial" w:hAnsi="Arial" w:cs="Arial"/>
                <w:sz w:val="24"/>
                <w:szCs w:val="24"/>
              </w:rPr>
              <w:t xml:space="preserve">составляют не менее 50 процентов, и фонд оплаты труда инвалидов </w:t>
            </w:r>
            <w:r w:rsidRPr="001275F4">
              <w:rPr>
                <w:rFonts w:ascii="Arial" w:hAnsi="Arial" w:cs="Arial"/>
                <w:noProof/>
                <w:sz w:val="24"/>
                <w:szCs w:val="24"/>
              </w:rPr>
              <w:t xml:space="preserve">ветераны войны и трудового фронта 1941-1945 годов, </w:t>
            </w:r>
            <w:r w:rsidRPr="001275F4">
              <w:rPr>
                <w:rFonts w:ascii="Arial" w:hAnsi="Arial" w:cs="Arial"/>
                <w:sz w:val="24"/>
                <w:szCs w:val="24"/>
              </w:rPr>
              <w:t>составляет не менее 50 процентов от общего фонда оплаты труда</w:t>
            </w:r>
            <w:r w:rsidR="001275F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FC72AC" w:rsidRPr="001275F4" w:rsidRDefault="00FC72AC" w:rsidP="001275F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5F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D85717" w:rsidRPr="001275F4" w:rsidRDefault="00D85717" w:rsidP="001275F4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85717" w:rsidRPr="0012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1A"/>
    <w:rsid w:val="001275F4"/>
    <w:rsid w:val="00283D79"/>
    <w:rsid w:val="00BC04B6"/>
    <w:rsid w:val="00CC1F38"/>
    <w:rsid w:val="00D16C1A"/>
    <w:rsid w:val="00D85717"/>
    <w:rsid w:val="00ED1A0D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79"/>
  </w:style>
  <w:style w:type="paragraph" w:styleId="2">
    <w:name w:val="heading 2"/>
    <w:basedOn w:val="a"/>
    <w:next w:val="a"/>
    <w:link w:val="20"/>
    <w:uiPriority w:val="9"/>
    <w:unhideWhenUsed/>
    <w:qFormat/>
    <w:rsid w:val="00283D79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D7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28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83D7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83D79"/>
  </w:style>
  <w:style w:type="character" w:customStyle="1" w:styleId="rvts20">
    <w:name w:val="rvts20"/>
    <w:basedOn w:val="a0"/>
    <w:rsid w:val="00283D79"/>
  </w:style>
  <w:style w:type="paragraph" w:customStyle="1" w:styleId="rvps3">
    <w:name w:val="rvps3"/>
    <w:basedOn w:val="a"/>
    <w:rsid w:val="0028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2">
    <w:name w:val="rvts22"/>
    <w:basedOn w:val="a0"/>
    <w:rsid w:val="00283D79"/>
  </w:style>
  <w:style w:type="paragraph" w:styleId="a6">
    <w:name w:val="Balloon Text"/>
    <w:basedOn w:val="a"/>
    <w:link w:val="a7"/>
    <w:uiPriority w:val="99"/>
    <w:semiHidden/>
    <w:unhideWhenUsed/>
    <w:rsid w:val="0012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79"/>
  </w:style>
  <w:style w:type="paragraph" w:styleId="2">
    <w:name w:val="heading 2"/>
    <w:basedOn w:val="a"/>
    <w:next w:val="a"/>
    <w:link w:val="20"/>
    <w:uiPriority w:val="9"/>
    <w:unhideWhenUsed/>
    <w:qFormat/>
    <w:rsid w:val="00283D79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D7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28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83D7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83D79"/>
  </w:style>
  <w:style w:type="character" w:customStyle="1" w:styleId="rvts20">
    <w:name w:val="rvts20"/>
    <w:basedOn w:val="a0"/>
    <w:rsid w:val="00283D79"/>
  </w:style>
  <w:style w:type="paragraph" w:customStyle="1" w:styleId="rvps3">
    <w:name w:val="rvps3"/>
    <w:basedOn w:val="a"/>
    <w:rsid w:val="0028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2">
    <w:name w:val="rvts22"/>
    <w:basedOn w:val="a0"/>
    <w:rsid w:val="00283D79"/>
  </w:style>
  <w:style w:type="paragraph" w:styleId="a6">
    <w:name w:val="Balloon Text"/>
    <w:basedOn w:val="a"/>
    <w:link w:val="a7"/>
    <w:uiPriority w:val="99"/>
    <w:semiHidden/>
    <w:unhideWhenUsed/>
    <w:rsid w:val="0012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rm.uz/contentf?doc=572486_stavki_edinogo_nalogovogo_plateja_(prilojenie_n_7_k_postanovleniyu_prezidenta_ruz_ot_26_12_2018_g_n_pp-4086)&amp;products=1_vse_zakonodatelstvo_uzbekistana" TargetMode="External"/><Relationship Id="rId5" Type="http://schemas.openxmlformats.org/officeDocument/2006/relationships/hyperlink" Target="https://nrm.uz/contentf?doc=572486_stavki_edinogo_nalogovogo_plateja_(prilojenie_n_7_k_postanovleniyu_prezidenta_ruz_ot_26_12_2018_g_n_pp-4086)&amp;products=1_vse_zakonodatelstvo_uzbekist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Allaberganov Atabek Validjanovich</dc:creator>
  <cp:keywords/>
  <dc:description/>
  <cp:lastModifiedBy>User</cp:lastModifiedBy>
  <cp:revision>6</cp:revision>
  <cp:lastPrinted>2019-12-27T19:40:00Z</cp:lastPrinted>
  <dcterms:created xsi:type="dcterms:W3CDTF">2019-12-18T19:52:00Z</dcterms:created>
  <dcterms:modified xsi:type="dcterms:W3CDTF">2019-12-27T19:40:00Z</dcterms:modified>
</cp:coreProperties>
</file>